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Madden Martin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NOVOCURE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1550 LIBERTY RIDGE DRIVE, SUITE 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WAYNE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NovoCure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NVCR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937"/>
        <w:gridCol w:w="459"/>
        <w:gridCol w:w="675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11,610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30,284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16.15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16,999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16,999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16,999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are scheduled to vest 100% on the earlier of the following dates: (i) the first anniversary of the grant date or (ii) the day immediately preceding the Company's 2027 annual general meeting of shareholders.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Options to buy ordinary shares will fully vest and become exercisable on the earlier of the following dates: (i) the first anniversary of the grant date or (ii) the day immediately preceding the Company's 2027 annual general meeting of shareholders.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Steven Robbins, as attorney in fact for Madden, Martin J.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6864" TargetMode="External"/><Relationship Id="rId5" Type="http://schemas.openxmlformats.org/officeDocument/2006/relationships/hyperlink" Target="http://www.sec.gov/cgi-bin/browse-edgar?action=getcompany&amp;CIK=00016451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666</Words>
  <Characters>3598</Characters>
  <CharactersWithSpaces>4194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