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Commission File Number 001-37565</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NovoCure Limited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4046" w:type="dxa"/>
        <w:jc w:val="center"/>
        <w:tblInd w:w="0" w:type="dxa"/>
        <w:tblLayout w:type="fixed"/>
        <w:tblCellMar>
          <w:top w:w="28" w:type="dxa"/>
          <w:left w:w="28" w:type="dxa"/>
          <w:bottom w:w="28" w:type="dxa"/>
          <w:right w:w="28" w:type="dxa"/>
        </w:tblCellMar>
      </w:tblPr>
      <w:tblGrid>
        <w:gridCol w:w="835"/>
        <w:gridCol w:w="732"/>
        <w:gridCol w:w="742"/>
        <w:gridCol w:w="109"/>
        <w:gridCol w:w="109"/>
        <w:gridCol w:w="109"/>
        <w:gridCol w:w="412"/>
        <w:gridCol w:w="412"/>
        <w:gridCol w:w="586"/>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98-1057807</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Identification No.)</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No. 4 The Forum</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Grenville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St. Helier, Jersey JE2 4UF</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+44 (0) 15 3475 6700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_______________________________________________________</w:t>
      </w:r>
    </w:p>
    <w:p>
      <w:pPr>
        <w:pStyle w:val="TextBody"/>
        <w:bidi w:val="0"/>
        <w:spacing w:lineRule="auto" w:line="288" w:before="100" w:after="12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Securities Exchange Act of 1934:</w:t>
      </w:r>
    </w:p>
    <w:tbl>
      <w:tblPr>
        <w:tblW w:w="8413" w:type="dxa"/>
        <w:jc w:val="center"/>
        <w:tblInd w:w="0" w:type="dxa"/>
        <w:tblLayout w:type="fixed"/>
        <w:tblCellMar>
          <w:top w:w="28" w:type="dxa"/>
          <w:left w:w="28" w:type="dxa"/>
          <w:bottom w:w="28" w:type="dxa"/>
          <w:right w:w="28" w:type="dxa"/>
        </w:tblCellMar>
      </w:tblPr>
      <w:tblGrid>
        <w:gridCol w:w="983"/>
        <w:gridCol w:w="861"/>
        <w:gridCol w:w="871"/>
        <w:gridCol w:w="564"/>
        <w:gridCol w:w="564"/>
        <w:gridCol w:w="566"/>
        <w:gridCol w:w="1170"/>
        <w:gridCol w:w="1170"/>
        <w:gridCol w:w="1664"/>
      </w:tblGrid>
      <w:tr>
        <w:trPr/>
        <w:tc>
          <w:tcPr>
            <w:tcW w:w="98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27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Ordinary Shares, no par value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NVCR</w:t>
            </w:r>
          </w:p>
        </w:tc>
        <w:tc>
          <w:tcPr>
            <w:tcW w:w="400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8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3"/>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the number of shares outstanding of each of the issuer’s classes of common stock, as of the latest practicable date.</w:t>
      </w:r>
    </w:p>
    <w:tbl>
      <w:tblPr>
        <w:tblW w:w="5501" w:type="dxa"/>
        <w:jc w:val="left"/>
        <w:tblInd w:w="0" w:type="dxa"/>
        <w:tblLayout w:type="fixed"/>
        <w:tblCellMar>
          <w:top w:w="28" w:type="dxa"/>
          <w:left w:w="28" w:type="dxa"/>
          <w:bottom w:w="28" w:type="dxa"/>
          <w:right w:w="28" w:type="dxa"/>
        </w:tblCellMar>
      </w:tblPr>
      <w:tblGrid>
        <w:gridCol w:w="914"/>
        <w:gridCol w:w="804"/>
        <w:gridCol w:w="816"/>
        <w:gridCol w:w="109"/>
        <w:gridCol w:w="109"/>
        <w:gridCol w:w="109"/>
        <w:gridCol w:w="772"/>
        <w:gridCol w:w="772"/>
        <w:gridCol w:w="1096"/>
      </w:tblGrid>
      <w:tr>
        <w:trPr/>
        <w:tc>
          <w:tcPr>
            <w:tcW w:w="9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as of July 17, 2026</w:t>
            </w:r>
          </w:p>
        </w:tc>
      </w:tr>
      <w:tr>
        <w:trPr/>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116,445,840 Shares</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to historical facts or statements of current condition, this report contains forward-looking statements within the meaning of Section 27A of the Securities Act of 1933, as amended, and Section 21E of the Securities Exchange Act of 1934, as amended. Forward-looking statements contained in this report are based on our current plans, expectations, hopes, beliefs, intentions or strategies concerning future developments and their impact on us. Forward-looking statements contained in this report constitute our expectations or forecasts of future events as of the date this report was filed with the Securities and Exchange Commission and are not statements of historical fact. You can identify these statements by the fact that they do not relate strictly to historical or current facts. Such statements may include words such as "anticipate," "will," "estimate," "expect," "project," "intend," "should," "plan," "believe," "hope," and other words and terms of similar meaning in connection with any discussion of, among other things, future operating or financial performance, strategic initiatives and business strategies, regulatory or competitive environments, our intellectual property and research and development related to our Tumor Treating Fields ("TTFields") devices marketed under various brand names, including "Optune Gio," "Optune Lua," "Optune Pax," and software, tools and other items to support and optimize the delivery of TTFields therapy (collectively, the "Products"). In particular, these forward-looking statements include, among others, statements about: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research and development, clinical study and commercialization activities and projected expenditures;</w:t>
      </w:r>
    </w:p>
    <w:p>
      <w:pPr>
        <w:pStyle w:val="TextBody"/>
        <w:bidi w:val="0"/>
        <w:spacing w:before="120" w:after="283"/>
        <w:jc w:val="both"/>
        <w:rPr/>
      </w:pPr>
      <w:r>
        <w:rPr/>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the further commercialization of our Products for current and future indications;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business strategies and the expansion of our sales and marketing efforts in the United States ("U.S.") and in other countries;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the market acceptance of our Products for current and future indications by patients, physicians, third-party payers and others in the healthcare and scientific community;</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plans to pursue the use of our Products for the treatment of indications other than glioblastoma ("GBM"), pancreatic cancer, non-small cell lung cancer ("NSCLC"), brain metastases from NSCLC, and malignant pleural mesothelioma ("MPM");</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estimates regarding revenues, expenses, capital requirements and needs for additional financing;</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obtain regulatory approvals for the use of our Products in indications other than GBM, NSCLC, MPM and pancreatic cancer;</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acquire from third-party suppliers the supplies needed to manufacture our Products;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manufacture adequate supply of our Products;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secure and maintain adequate coverage from third-party payers to reimburse us for our Products for current and future indications;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receive payment from third-party payers for use of our Products for current and future indications;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ability to maintain, develop, protect, defend or enforce our intellectual property position;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our ability to manage the risks associated with business disruptions caused by natural disasters, extreme weather events, pandemics such as COVID-19 (coronavirus), international conflict, a prolonged failure of U.S. lawmakers to agree on a budget or appropriation legislation to fund the federal government’s operations (also known as a government shutdown), which could have an adverse effect on regulatory agencies, such as the U.S. Food and Drug Administration (e.g. PMA processing) and Centers for Medicare &amp; Medicaid Services (e.g. payment processing), to perform their duties the impact our operations and the financial markets’ and other businesses’ reactions to any such failure, or other disruptions outside of our control;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cash needs;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our prospects, financial condition and results of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These forward-looking statements involve a number of risks and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Factors which may cause such differences to occur include those risks and uncertainties set forth under Part I, Item 1A., “Risk Factors” in our Annual Report on Form 10-K for the fiscal year ended December 31, 2025 filed on February 26, 2026, as well as other risks and uncertainties set forth from time to time in the reports we file with the Securities and Exchange Commission (the "SEC"). We do not intend to update publicly any forward-looking statement,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TRADEMARKS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Quarterly Report on Form 10-Q includes trademarks of NovoCure Limited and other persons. All trademarks or trade names referred to herein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869"/>
        <w:gridCol w:w="756"/>
        <w:gridCol w:w="756"/>
        <w:gridCol w:w="2444"/>
        <w:gridCol w:w="2406"/>
        <w:gridCol w:w="2430"/>
        <w:gridCol w:w="158"/>
        <w:gridCol w:w="158"/>
        <w:gridCol w:w="228"/>
      </w:tblGrid>
      <w:tr>
        <w:trPr/>
        <w:tc>
          <w:tcPr>
            <w:tcW w:w="86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7">
              <w:r>
                <w:rPr>
                  <w:rStyle w:val="InternetLink"/>
                  <w:rFonts w:ascii="Arial;sans-serif" w:hAnsi="Arial;sans-serif"/>
                  <w:b w:val="false"/>
                  <w:color w:val="0000FF"/>
                  <w:sz w:val="20"/>
                  <w:u w:val="single"/>
                </w:rPr>
                <w:t>Cautionary Note Regarding Forward Looking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7">
              <w:r>
                <w:rPr>
                  <w:rStyle w:val="InternetLink"/>
                  <w:rFonts w:ascii="Arial;sans-serif" w:hAnsi="Arial;sans-serif"/>
                  <w:b w:val="false"/>
                  <w:strike w:val="false"/>
                  <w:dstrike w:val="false"/>
                  <w:color w:val="000000"/>
                  <w:sz w:val="20"/>
                  <w:u w:val="none"/>
                  <w:effect w:val="none"/>
                </w:rPr>
                <w:t>i</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
              <w:r>
                <w:rPr>
                  <w:rStyle w:val="InternetLink"/>
                  <w:rFonts w:ascii="Arial;sans-serif" w:hAnsi="Arial;sans-serif"/>
                  <w:b w:val="false"/>
                  <w:color w:val="0000FF"/>
                  <w:sz w:val="20"/>
                  <w:u w:val="single"/>
                </w:rPr>
                <w:t>Trademarks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0">
              <w:r>
                <w:rPr>
                  <w:rStyle w:val="InternetLink"/>
                  <w:rFonts w:ascii="Arial;sans-serif" w:hAnsi="Arial;sans-serif"/>
                  <w:b w:val="false"/>
                  <w:strike w:val="false"/>
                  <w:dstrike w:val="false"/>
                  <w:color w:val="000000"/>
                  <w:sz w:val="20"/>
                  <w:u w:val="none"/>
                  <w:effect w:val="none"/>
                </w:rPr>
                <w:t>ii</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b69d26dda0a4d6282207cae41da4bbb_16">
              <w:r>
                <w:rPr>
                  <w:rStyle w:val="InternetLink"/>
                  <w:rFonts w:ascii="Arial;sans-serif" w:hAnsi="Arial;sans-serif"/>
                  <w:b/>
                  <w:color w:val="0000FF"/>
                  <w:sz w:val="20"/>
                  <w:u w:val="single"/>
                </w:rPr>
                <w:t>PART I—FINANCIAL INFORMATION</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9">
              <w:r>
                <w:rPr>
                  <w:rStyle w:val="InternetLink"/>
                  <w:rFonts w:ascii="Arial;sans-serif" w:hAnsi="Arial;sans-serif"/>
                  <w:b/>
                  <w:strike w:val="false"/>
                  <w:dstrike w:val="false"/>
                  <w:color w:val="000000"/>
                  <w:sz w:val="20"/>
                  <w:u w:val="none"/>
                  <w:effect w:val="none"/>
                </w:rPr>
                <w:t>Item 1.</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9">
              <w:r>
                <w:rPr>
                  <w:rStyle w:val="InternetLink"/>
                  <w:rFonts w:ascii="Arial;sans-serif" w:hAnsi="Arial;sans-serif"/>
                  <w:b w:val="false"/>
                  <w:color w:val="0000FF"/>
                  <w:sz w:val="20"/>
                  <w:u w:val="single"/>
                </w:rPr>
                <w:t>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9">
              <w:r>
                <w:rPr>
                  <w:rStyle w:val="InternetLink"/>
                  <w:rFonts w:ascii="Arial;sans-serif" w:hAnsi="Arial;sans-serif"/>
                  <w:b w:val="false"/>
                  <w:strike w:val="false"/>
                  <w:dstrike w:val="false"/>
                  <w:color w:val="000000"/>
                  <w:sz w:val="20"/>
                  <w:u w:val="none"/>
                  <w:effect w:val="none"/>
                </w:rPr>
                <w:t>2</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73">
              <w:r>
                <w:rPr>
                  <w:rStyle w:val="InternetLink"/>
                  <w:rFonts w:ascii="Arial;sans-serif" w:hAnsi="Arial;sans-serif"/>
                  <w:b/>
                  <w:strike w:val="false"/>
                  <w:dstrike w:val="false"/>
                  <w:color w:val="000000"/>
                  <w:sz w:val="20"/>
                  <w:u w:val="none"/>
                  <w:effect w:val="none"/>
                </w:rPr>
                <w:t>Item 2.</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73">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73">
              <w:r>
                <w:rPr>
                  <w:rStyle w:val="InternetLink"/>
                  <w:rFonts w:ascii="Arial;sans-serif" w:hAnsi="Arial;sans-serif"/>
                  <w:b w:val="false"/>
                  <w:strike w:val="false"/>
                  <w:dstrike w:val="false"/>
                  <w:color w:val="000000"/>
                  <w:sz w:val="20"/>
                  <w:u w:val="none"/>
                  <w:effect w:val="none"/>
                </w:rPr>
                <w:t>18</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97">
              <w:r>
                <w:rPr>
                  <w:rStyle w:val="InternetLink"/>
                  <w:rFonts w:ascii="Arial;sans-serif" w:hAnsi="Arial;sans-serif"/>
                  <w:b/>
                  <w:strike w:val="false"/>
                  <w:dstrike w:val="false"/>
                  <w:color w:val="000000"/>
                  <w:sz w:val="20"/>
                  <w:u w:val="none"/>
                  <w:effect w:val="none"/>
                </w:rPr>
                <w:t>Item 3.</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97">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97">
              <w:r>
                <w:rPr>
                  <w:rStyle w:val="InternetLink"/>
                  <w:rFonts w:ascii="Arial;sans-serif" w:hAnsi="Arial;sans-serif"/>
                  <w:b w:val="false"/>
                  <w:strike w:val="false"/>
                  <w:dstrike w:val="false"/>
                  <w:color w:val="000000"/>
                  <w:sz w:val="20"/>
                  <w:u w:val="none"/>
                  <w:effect w:val="none"/>
                </w:rPr>
                <w:t>28</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0">
              <w:r>
                <w:rPr>
                  <w:rStyle w:val="InternetLink"/>
                  <w:rFonts w:ascii="Arial;sans-serif" w:hAnsi="Arial;sans-serif"/>
                  <w:b/>
                  <w:strike w:val="false"/>
                  <w:dstrike w:val="false"/>
                  <w:color w:val="000000"/>
                  <w:sz w:val="20"/>
                  <w:u w:val="none"/>
                  <w:effect w:val="none"/>
                </w:rPr>
                <w:t>Item 4.</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0">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00">
              <w:r>
                <w:rPr>
                  <w:rStyle w:val="InternetLink"/>
                  <w:rFonts w:ascii="Arial;sans-serif" w:hAnsi="Arial;sans-serif"/>
                  <w:b w:val="false"/>
                  <w:strike w:val="false"/>
                  <w:dstrike w:val="false"/>
                  <w:color w:val="000000"/>
                  <w:sz w:val="20"/>
                  <w:u w:val="none"/>
                  <w:effect w:val="none"/>
                </w:rPr>
                <w:t>28</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b69d26dda0a4d6282207cae41da4bbb_103">
              <w:r>
                <w:rPr>
                  <w:rStyle w:val="InternetLink"/>
                  <w:rFonts w:ascii="Arial;sans-serif" w:hAnsi="Arial;sans-serif"/>
                  <w:b/>
                  <w:color w:val="0000FF"/>
                  <w:sz w:val="20"/>
                  <w:u w:val="single"/>
                </w:rPr>
                <w:t>PART II—OTHER INFORMATION</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6">
              <w:r>
                <w:rPr>
                  <w:rStyle w:val="InternetLink"/>
                  <w:rFonts w:ascii="Arial;sans-serif" w:hAnsi="Arial;sans-serif"/>
                  <w:b/>
                  <w:strike w:val="false"/>
                  <w:dstrike w:val="false"/>
                  <w:color w:val="000000"/>
                  <w:sz w:val="20"/>
                  <w:u w:val="none"/>
                  <w:effect w:val="none"/>
                </w:rPr>
                <w:t>Item 1.</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6">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06">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9">
              <w:r>
                <w:rPr>
                  <w:rStyle w:val="InternetLink"/>
                  <w:rFonts w:ascii="Arial;sans-serif" w:hAnsi="Arial;sans-serif"/>
                  <w:b/>
                  <w:strike w:val="false"/>
                  <w:dstrike w:val="false"/>
                  <w:color w:val="000000"/>
                  <w:sz w:val="20"/>
                  <w:u w:val="none"/>
                  <w:effect w:val="none"/>
                </w:rPr>
                <w:t>Item 1A.</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09">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09">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2">
              <w:r>
                <w:rPr>
                  <w:rStyle w:val="InternetLink"/>
                  <w:rFonts w:ascii="Arial;sans-serif" w:hAnsi="Arial;sans-serif"/>
                  <w:b/>
                  <w:strike w:val="false"/>
                  <w:dstrike w:val="false"/>
                  <w:color w:val="000000"/>
                  <w:sz w:val="20"/>
                  <w:u w:val="none"/>
                  <w:effect w:val="none"/>
                </w:rPr>
                <w:t>Item 2.</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2">
              <w:r>
                <w:rPr>
                  <w:rStyle w:val="InternetLink"/>
                  <w:rFonts w:ascii="Arial;sans-serif" w:hAnsi="Arial;sans-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12">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5">
              <w:r>
                <w:rPr>
                  <w:rStyle w:val="InternetLink"/>
                  <w:rFonts w:ascii="Arial;sans-serif" w:hAnsi="Arial;sans-serif"/>
                  <w:b/>
                  <w:strike w:val="false"/>
                  <w:dstrike w:val="false"/>
                  <w:color w:val="000000"/>
                  <w:sz w:val="20"/>
                  <w:u w:val="none"/>
                  <w:effect w:val="none"/>
                </w:rPr>
                <w:t>Item 3.</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5">
              <w:r>
                <w:rPr>
                  <w:rStyle w:val="InternetLink"/>
                  <w:rFonts w:ascii="Arial;sans-serif" w:hAnsi="Arial;sans-serif"/>
                  <w:b w:val="false"/>
                  <w:color w:val="0000FF"/>
                  <w:sz w:val="20"/>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15">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8">
              <w:r>
                <w:rPr>
                  <w:rStyle w:val="InternetLink"/>
                  <w:rFonts w:ascii="Arial;sans-serif" w:hAnsi="Arial;sans-serif"/>
                  <w:b/>
                  <w:strike w:val="false"/>
                  <w:dstrike w:val="false"/>
                  <w:color w:val="000000"/>
                  <w:sz w:val="20"/>
                  <w:u w:val="none"/>
                  <w:effect w:val="none"/>
                </w:rPr>
                <w:t>Item 4.</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18">
              <w:r>
                <w:rPr>
                  <w:rStyle w:val="InternetLink"/>
                  <w:rFonts w:ascii="Arial;sans-serif" w:hAnsi="Arial;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18">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21">
              <w:r>
                <w:rPr>
                  <w:rStyle w:val="InternetLink"/>
                  <w:rFonts w:ascii="Arial;sans-serif" w:hAnsi="Arial;sans-serif"/>
                  <w:b/>
                  <w:strike w:val="false"/>
                  <w:dstrike w:val="false"/>
                  <w:color w:val="000000"/>
                  <w:sz w:val="20"/>
                  <w:u w:val="none"/>
                  <w:effect w:val="none"/>
                </w:rPr>
                <w:t>Item 5.</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21">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21">
              <w:r>
                <w:rPr>
                  <w:rStyle w:val="InternetLink"/>
                  <w:rFonts w:ascii="Arial;sans-serif" w:hAnsi="Arial;sans-serif"/>
                  <w:b w:val="false"/>
                  <w:strike w:val="false"/>
                  <w:dstrike w:val="false"/>
                  <w:color w:val="000000"/>
                  <w:sz w:val="20"/>
                  <w:u w:val="none"/>
                  <w:effect w:val="none"/>
                </w:rPr>
                <w:t>30</w:t>
              </w:r>
            </w:hyperlink>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27">
              <w:r>
                <w:rPr>
                  <w:rStyle w:val="InternetLink"/>
                  <w:rFonts w:ascii="Arial;sans-serif" w:hAnsi="Arial;sans-serif"/>
                  <w:b/>
                  <w:strike w:val="false"/>
                  <w:dstrike w:val="false"/>
                  <w:color w:val="000000"/>
                  <w:sz w:val="20"/>
                  <w:u w:val="none"/>
                  <w:effect w:val="none"/>
                </w:rPr>
                <w:t>Item 6.</w:t>
              </w:r>
            </w:hyperlink>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27">
              <w:r>
                <w:rPr>
                  <w:rStyle w:val="InternetLink"/>
                  <w:rFonts w:ascii="Arial;sans-serif" w:hAnsi="Arial;sans-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27">
              <w:r>
                <w:rPr>
                  <w:rStyle w:val="InternetLink"/>
                  <w:rFonts w:ascii="Arial;sans-serif" w:hAnsi="Arial;sans-serif"/>
                  <w:b w:val="false"/>
                  <w:strike w:val="false"/>
                  <w:dstrike w:val="false"/>
                  <w:color w:val="000000"/>
                  <w:sz w:val="20"/>
                  <w:u w:val="none"/>
                  <w:effect w:val="none"/>
                </w:rPr>
                <w:t>31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69d26dda0a4d6282207cae41da4bbb_130">
              <w:r>
                <w:rPr>
                  <w:rStyle w:val="InternetLink"/>
                  <w:rFonts w:ascii="Arial;sans-serif" w:hAnsi="Arial;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9d26dda0a4d6282207cae41da4bbb_130">
              <w:r>
                <w:rPr>
                  <w:rStyle w:val="InternetLink"/>
                  <w:rFonts w:ascii="Arial;sans-serif" w:hAnsi="Arial;sans-serif"/>
                  <w:b w:val="false"/>
                  <w:strike w:val="false"/>
                  <w:dstrike w:val="false"/>
                  <w:color w:val="000000"/>
                  <w:sz w:val="20"/>
                  <w:u w:val="none"/>
                  <w:effect w:val="none"/>
                </w:rPr>
                <w:t>32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25" w:type="dxa"/>
        <w:jc w:val="left"/>
        <w:tblInd w:w="0" w:type="dxa"/>
        <w:tblLayout w:type="fixed"/>
        <w:tblCellMar>
          <w:top w:w="28" w:type="dxa"/>
          <w:left w:w="28" w:type="dxa"/>
          <w:bottom w:w="28" w:type="dxa"/>
          <w:right w:w="28" w:type="dxa"/>
        </w:tblCellMar>
      </w:tblPr>
      <w:tblGrid>
        <w:gridCol w:w="1420"/>
        <w:gridCol w:w="1244"/>
        <w:gridCol w:w="1263"/>
        <w:gridCol w:w="370"/>
        <w:gridCol w:w="1510"/>
        <w:gridCol w:w="192"/>
        <w:gridCol w:w="192"/>
        <w:gridCol w:w="192"/>
        <w:gridCol w:w="192"/>
        <w:gridCol w:w="370"/>
        <w:gridCol w:w="1510"/>
        <w:gridCol w:w="270"/>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872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BALANCE SHEETS</w:t>
            </w:r>
          </w:p>
        </w:tc>
      </w:tr>
      <w:tr>
        <w:trPr/>
        <w:tc>
          <w:tcPr>
            <w:tcW w:w="8725"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dollars in thousands (except share data)</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net</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and prepaid expenses</w:t>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58,669 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638,521 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646,731 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ASSETS:</w:t>
            </w:r>
          </w:p>
        </w:tc>
        <w:tc>
          <w:tcPr>
            <w:tcW w:w="2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77,606 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equipment, net</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assets</w:t>
            </w:r>
          </w:p>
        </w:tc>
        <w:tc>
          <w:tcPr>
            <w:tcW w:w="1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156,670 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157,595 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795,191 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804,326 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3"/>
        <w:gridCol w:w="2155"/>
        <w:gridCol w:w="2162"/>
        <w:gridCol w:w="264"/>
        <w:gridCol w:w="1077"/>
        <w:gridCol w:w="137"/>
        <w:gridCol w:w="137"/>
        <w:gridCol w:w="137"/>
        <w:gridCol w:w="137"/>
        <w:gridCol w:w="264"/>
        <w:gridCol w:w="1077"/>
        <w:gridCol w:w="195"/>
      </w:tblGrid>
      <w:tr>
        <w:trPr/>
        <w:tc>
          <w:tcPr>
            <w:tcW w:w="246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BALANCE SHEETS</w:t>
            </w:r>
          </w:p>
        </w:tc>
      </w:tr>
      <w:tr>
        <w:trPr/>
        <w:tc>
          <w:tcPr>
            <w:tcW w:w="10205"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dollars in thousands (except share data)</w:t>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payables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lease liabilities and accrued expenses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220,710 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223,228 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Senior secured credit facility, net</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 liabilities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236,389 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240,632 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457,099 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463,860 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capital -</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Ordinary shares no par value, Unlimited shares authorized; issued and outstanding:</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116,442,465 shares and 112,492,667 shares at June 30, 2026 (unaudited) and December 31, 2025, respectively</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1,718,667 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1,634,264 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 (accumulated deficit)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(1,377,153)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338,092 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340,466 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795,191 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804,326 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98"/>
        <w:gridCol w:w="540"/>
        <w:gridCol w:w="544"/>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353"/>
        <w:gridCol w:w="937"/>
        <w:gridCol w:w="165"/>
      </w:tblGrid>
      <w:tr>
        <w:trPr/>
        <w:tc>
          <w:tcPr>
            <w:tcW w:w="9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STATEMENTS OF OPERATIONS</w:t>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dollars in thousands (except share and per share data)</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655,353 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488,474 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642,274 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income (expenses),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(136,227)</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income (loss) per ordinary share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ordinary shares used in computing basic and diluted net income (loss) per share</w:t>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116,012,397 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111,572,191 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115,106,850 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110,930,576 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111,471,991 </w:t>
            </w:r>
          </w:p>
        </w:tc>
        <w:tc>
          <w:tcPr>
            <w:tcW w:w="1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75"/>
        <w:gridCol w:w="945"/>
        <w:gridCol w:w="836"/>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76"/>
        <w:gridCol w:w="1167"/>
        <w:gridCol w:w="206"/>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COMPREHENSIVE INCOME (LOSS)</w:t>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U.S. dollars in thousands </w:t>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(136,227)</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Other comprehensive income (loss), net of tax:</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benefit plan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(134,168)</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0"/>
        <w:gridCol w:w="489"/>
        <w:gridCol w:w="492"/>
        <w:gridCol w:w="615"/>
        <w:gridCol w:w="616"/>
        <w:gridCol w:w="288"/>
        <w:gridCol w:w="109"/>
        <w:gridCol w:w="109"/>
        <w:gridCol w:w="109"/>
        <w:gridCol w:w="211"/>
        <w:gridCol w:w="1025"/>
        <w:gridCol w:w="109"/>
        <w:gridCol w:w="109"/>
        <w:gridCol w:w="109"/>
        <w:gridCol w:w="109"/>
        <w:gridCol w:w="288"/>
        <w:gridCol w:w="883"/>
        <w:gridCol w:w="150"/>
        <w:gridCol w:w="109"/>
        <w:gridCol w:w="109"/>
        <w:gridCol w:w="109"/>
        <w:gridCol w:w="233"/>
        <w:gridCol w:w="1144"/>
        <w:gridCol w:w="120"/>
        <w:gridCol w:w="109"/>
        <w:gridCol w:w="109"/>
        <w:gridCol w:w="109"/>
        <w:gridCol w:w="227"/>
        <w:gridCol w:w="895"/>
        <w:gridCol w:w="172"/>
      </w:tblGrid>
      <w:tr>
        <w:trPr/>
        <w:tc>
          <w:tcPr>
            <w:tcW w:w="9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 AND SUBSIDIARIES</w:t>
              <w:br/>
              <w:t>CONSOLIDATED STATEMENTS OF CHANGES IN SHAREHOLDERS’ EQUITY</w:t>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dollars in thousands (except share data)</w:t>
            </w:r>
          </w:p>
        </w:tc>
      </w:tr>
      <w:tr>
        <w:trPr/>
        <w:tc>
          <w:tcPr>
            <w:tcW w:w="19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w:t>
              <w:br/>
              <w:t>equity</w:t>
            </w:r>
          </w:p>
        </w:tc>
      </w:tr>
      <w:tr>
        <w:trPr/>
        <w:tc>
          <w:tcPr>
            <w:tcW w:w="1921" w:type="dxa"/>
            <w:gridSpan w:val="3"/>
            <w:vMerge w:val="continue"/>
            <w:tcBorders/>
            <w:tcMar>
              <w:top w:w="0" w:type="dxa"/>
              <w:left w:w="0" w:type="dxa"/>
              <w:bottom w:w="0" w:type="dxa"/>
              <w:right w:w="0" w:type="dxa"/>
            </w:tcMar>
            <w:vAlign w:val="center"/>
          </w:tcPr>
          <w:p>
            <w:pPr>
              <w:pStyle w:val="Normal"/>
              <w:bidi w:val="0"/>
              <w:jc w:val="left"/>
              <w:rPr/>
            </w:pPr>
            <w:r>
              <w:rPr/>
            </w:r>
          </w:p>
        </w:tc>
        <w:tc>
          <w:tcPr>
            <w:tcW w:w="15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2025 (audited)</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112,492,667 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(1,290,357)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340,466 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to employees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options and vested RSUs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3,328,273 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payment related to net share settlement on equity awards</w:t>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 benefit of $0</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March 31, 2026 (Unaudited)</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115,820,940 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(4,895)</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(1,361,495)</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330,717 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to employees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shares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187,717 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options and vested RSUs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433,808 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 benefit of $0</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2026 (Unaudited)</w:t>
            </w:r>
          </w:p>
        </w:tc>
        <w:tc>
          <w:tcPr>
            <w:tcW w:w="12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116,442,465 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1,718,667 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(1,377,153)</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338,092 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38"/>
        <w:gridCol w:w="489"/>
        <w:gridCol w:w="492"/>
        <w:gridCol w:w="615"/>
        <w:gridCol w:w="616"/>
        <w:gridCol w:w="289"/>
        <w:gridCol w:w="109"/>
        <w:gridCol w:w="109"/>
        <w:gridCol w:w="109"/>
        <w:gridCol w:w="211"/>
        <w:gridCol w:w="1021"/>
        <w:gridCol w:w="109"/>
        <w:gridCol w:w="109"/>
        <w:gridCol w:w="109"/>
        <w:gridCol w:w="109"/>
        <w:gridCol w:w="288"/>
        <w:gridCol w:w="883"/>
        <w:gridCol w:w="150"/>
        <w:gridCol w:w="109"/>
        <w:gridCol w:w="109"/>
        <w:gridCol w:w="109"/>
        <w:gridCol w:w="234"/>
        <w:gridCol w:w="1150"/>
        <w:gridCol w:w="121"/>
        <w:gridCol w:w="109"/>
        <w:gridCol w:w="109"/>
        <w:gridCol w:w="109"/>
        <w:gridCol w:w="221"/>
        <w:gridCol w:w="902"/>
        <w:gridCol w:w="168"/>
      </w:tblGrid>
      <w:tr>
        <w:trPr/>
        <w:tc>
          <w:tcPr>
            <w:tcW w:w="93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8286" w:type="dxa"/>
            <w:gridSpan w:val="27"/>
            <w:tcBorders/>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8286" w:type="dxa"/>
            <w:gridSpan w:val="27"/>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 (accumulated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w:t>
              <w:br/>
              <w:t>equity</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31, 2024 (audited)</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108,516,819 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(1,154,130)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360,179 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to employees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options and vested RSUs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2,965,781 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 benefit of $0</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March 31, 2025 (Unaudited)</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111,482,600 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(1,188,449)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361,958 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to employees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shares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141,192 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options and vested RSUs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174,898 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 benefit of $0</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30, 2025 (Unaudited)</w:t>
            </w:r>
          </w:p>
        </w:tc>
        <w:tc>
          <w:tcPr>
            <w:tcW w:w="12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111,798,690 </w:t>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(5,109)</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(1,228,588)</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349,441 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01"/>
        <w:gridCol w:w="855"/>
        <w:gridCol w:w="862"/>
        <w:gridCol w:w="211"/>
        <w:gridCol w:w="765"/>
        <w:gridCol w:w="109"/>
        <w:gridCol w:w="109"/>
        <w:gridCol w:w="109"/>
        <w:gridCol w:w="109"/>
        <w:gridCol w:w="211"/>
        <w:gridCol w:w="765"/>
        <w:gridCol w:w="109"/>
        <w:gridCol w:w="109"/>
        <w:gridCol w:w="109"/>
        <w:gridCol w:w="109"/>
        <w:gridCol w:w="211"/>
        <w:gridCol w:w="765"/>
        <w:gridCol w:w="109"/>
        <w:gridCol w:w="109"/>
        <w:gridCol w:w="109"/>
        <w:gridCol w:w="109"/>
        <w:gridCol w:w="211"/>
        <w:gridCol w:w="765"/>
        <w:gridCol w:w="109"/>
        <w:gridCol w:w="109"/>
        <w:gridCol w:w="109"/>
        <w:gridCol w:w="109"/>
        <w:gridCol w:w="244"/>
        <w:gridCol w:w="1014"/>
        <w:gridCol w:w="181"/>
      </w:tblGrid>
      <w:tr>
        <w:trPr/>
        <w:tc>
          <w:tcPr>
            <w:tcW w:w="140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NOVOCURE LIMITED AND SUBSIDIARIES</w:t>
              <w:br/>
              <w:t>CONSOLIDATED STATEMENTS OF CASH FLOWS</w:t>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dollars in thousands</w:t>
            </w:r>
          </w:p>
        </w:tc>
      </w:tr>
      <w:tr>
        <w:trPr/>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(used in) operating activities: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write-downs and impairment of field equipment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remeasurement loss (gain)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Decrease (increase) in accounts receivables and prepaid expenses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discount (premium)</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inventories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other long-term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accounts payables and accrued expenses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long-term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(49,031)</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equipment and field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(26,648)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(821,076)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437,276 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shares,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senior secured credit facility,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Repayment and redemption of long-term debt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(560,945)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payments related to net settlements on equity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of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(451,343)</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73"/>
        <w:gridCol w:w="898"/>
        <w:gridCol w:w="90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17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NOVOCURE LIMITED AND SUBSIDIARIES</w:t>
              <w:br/>
              <w:t>CONSOLIDATED STATEMENTS OF CASH FLOWS</w:t>
            </w:r>
          </w:p>
        </w:tc>
      </w:tr>
      <w:tr>
        <w:trPr/>
        <w:tc>
          <w:tcPr>
            <w:tcW w:w="10205"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dollars in thousands</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end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52" w:type="dxa"/>
            <w:gridSpan w:val="12"/>
            <w:tcBorders/>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52" w:type="dxa"/>
            <w:gridSpan w:val="12"/>
            <w:tcBorders/>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Supplemental cash flow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 (refunded),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13,406 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cash, cash equivalents and restricted cash:</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activities: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assets obtained (disposed)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Purchase of property incurred but unpaid at period end </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NOVOCURE LIMITED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UNAUDITED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dollars 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1: ORGANIZATION AND BASIS OF PRESENTATION</w:t>
      </w:r>
    </w:p>
    <w:p>
      <w:pPr>
        <w:pStyle w:val="TextBody"/>
        <w:bidi w:val="0"/>
        <w:spacing w:lineRule="auto" w:line="288" w:before="120" w:after="283"/>
        <w:jc w:val="both"/>
        <w:rPr/>
      </w:pPr>
      <w:r>
        <w:rPr>
          <w:rFonts w:ascii="Arial;sans-serif" w:hAnsi="Arial;sans-serif"/>
          <w:b w:val="false"/>
          <w:i/>
          <w:color w:val="000000"/>
          <w:sz w:val="20"/>
        </w:rPr>
        <w:t>Organization</w:t>
      </w:r>
      <w:r>
        <w:rPr>
          <w:rFonts w:ascii="Arial;sans-serif" w:hAnsi="Arial;sans-serif"/>
          <w:b w:val="false"/>
          <w:color w:val="000000"/>
          <w:sz w:val="20"/>
        </w:rPr>
        <w:t xml:space="preserve">. NovoCure Limited (including its consolidated subsidiaries, the "Company") was incorporated in the Bailiwick of Jersey and is principally engaged in the development, manufacture and commercialization of Tumor Treating Fields ("TTFields") devices, including Optune Gio, Optune Pax and Optune Lua (collectively, our "Products"), for the treatment of solid tumor cancers. The Company markets Optune Gio, Optune Pax and Optune Lua in multiple countries around the globe with the majority of revenues coming from the use of Optune Gio in the U.S., Germany, France and Japan. The Company also has a License and Collaboration Agreement (the "Zai Agreement") with Zai Lab (Shanghai) Co., Ltd. ("Zai") to market Optune in China, Hong Kong, Macau and Taiwan ("Greater China"). </w:t>
      </w:r>
    </w:p>
    <w:p>
      <w:pPr>
        <w:pStyle w:val="TextBody"/>
        <w:bidi w:val="0"/>
        <w:spacing w:lineRule="auto" w:line="288" w:before="240" w:after="283"/>
        <w:jc w:val="both"/>
        <w:rPr/>
      </w:pPr>
      <w:r>
        <w:rPr>
          <w:rFonts w:ascii="Arial;sans-serif" w:hAnsi="Arial;sans-serif"/>
          <w:b w:val="false"/>
          <w:i/>
          <w:color w:val="000000"/>
          <w:sz w:val="20"/>
        </w:rPr>
        <w:t>Financial statement preparation</w:t>
      </w:r>
      <w:r>
        <w:rPr>
          <w:rFonts w:ascii="Arial;sans-serif" w:hAnsi="Arial;sans-serif"/>
          <w:b w:val="false"/>
          <w:color w:val="000000"/>
          <w:sz w:val="20"/>
        </w:rPr>
        <w:t>. The accompanying unaudited consolidated financial statements include the accounts of the Company and intercompany accounts and transactions have been eliminated. In the opinion of the Company’s management, the unaudited consolidated financial statements reflect all adjustments, which are normal and recurring in nature, necessary for fair financial statement presentation for the periods presented. The preparation of these unaudited consolidated financial statements in conformity with U.S. generally accepted accounting principles ("GAAP") requires management to make estimates and assumptions that affect the amounts reported in these unaudited consolidated financial statements and accompanying notes. Actual results could differ materially from those estimates. These unaudited consolidated financial statements and accompanying notes should be read in conjunction with the Company’s annual consolidated financial statements and the notes thereto included in the Company’s Annual Report on Form 10-K for the fiscal year ended December 31, 2025 (the "2025 10-K") filed with the Securities and Exchange Commission on February 26,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significant accounting policies applied in the audited annual consolidated financial statements of the Company as disclosed in the 2025 10-K are applied consistently in these unaudited interim consolidated financial statements except for the adoption of ASU 2025-05, Financial Instruments - Credit Losses (Topic 326): "Measurement of Credit Losses for Accounts Receivable and Contract Assets”, see below.</w:t>
      </w:r>
    </w:p>
    <w:p>
      <w:pPr>
        <w:pStyle w:val="TextBody"/>
        <w:bidi w:val="0"/>
        <w:spacing w:lineRule="auto" w:line="268" w:before="240" w:after="283"/>
        <w:jc w:val="both"/>
        <w:rPr/>
      </w:pPr>
      <w:r>
        <w:rPr>
          <w:rFonts w:ascii="Arial;sans-serif" w:hAnsi="Arial;sans-serif"/>
          <w:b w:val="false"/>
          <w:i/>
          <w:color w:val="000000"/>
          <w:sz w:val="20"/>
          <w:shd w:fill="FFFFFF" w:val="clear"/>
        </w:rPr>
        <w:t xml:space="preserve">Concentration Risks. </w:t>
      </w:r>
      <w:r>
        <w:rPr>
          <w:rFonts w:ascii="Arial;sans-serif" w:hAnsi="Arial;sans-serif"/>
          <w:b w:val="false"/>
          <w:color w:val="000000"/>
          <w:sz w:val="20"/>
          <w:shd w:fill="FFFFFF" w:val="clear"/>
        </w:rPr>
        <w:t>The Company's cash, cash equivalents, short-term investments and trade receivables are potentially subject to a concentration of risk. Cash, cash equivalents and short-term investments are invested at top tier financial institutions globally and the total value invested at any one institution is limited pursuant to the Company's investment policy. These investments may be in excess of insured limitations or not insured in certain jurisdictions. Generally, these investments may be redeemed upon demand according to the terms of the securities.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trade receivables are due from numerous governments and federal and state agencies that are paid from their respective budgets, and from hundreds of health insurance companies. The Company does not believe that there are significant default risks associated with these governments, agencies and health insurance companies based upon the Company's historical experience.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no off-balance sheet concentrations of credit risk such as foreign exchange contracts, option contracts or other foreign hedging arrangements.</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adopted ASU 2025-05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Company continues to estimate expected credit losses for non-current receivables and contract assets in accordance with ASC 326. The adoption of ASU 2025-05 did not have any material impact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Recently announced accounting pronouncements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In September 2025, the FASB issued ASU 2025-06, Intangibles-Goodwill and Other-Internal-Use Software (Subtopic 350-40) - Targeted Improvements to the Accounting for Internal-Use Software. The ASU was updated to consider different methods of software development and requires internal use software costs to be capitalized when management has authorized and committed to funding the software project and when significant uncertainty associated with the development of the software has been resolved. The amendments in this ASU are required to be adopted for annual and interim reporting periods beginning after December 15, 2027 (the year ending December 31, 2028, for the Company), with early adoption permitted, and may be applied either through a prospective, retrospective or a modified transition approach. The Company is currently evaluating the effect of adopting the ASU on its consolidated financial statements. </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In December 2025, the FASB issued ASU 2025-11, Interim Reporting (Topic 270): Narrow-Scope Improvements, which clarifies interim disclosure requirements and the applicability of Topic 270. This update will be effective beginning after December 15, 2027. The Company is currently evaluating the impact that adoption of ASU 2025-11 will have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CASH, CASH EQUIVALENTS AND SHORT-TERM INVESTMENTS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equivalents include items almost as liquid as cash, with maturity periods of three months or less when purchased, and short-term investments include items with maturity dates between three months and one year when purchased. As of June 30, 2026 and December 31, 2025, the Company’s cash and cash equivalents and short-term investments were composed of:</w:t>
      </w:r>
    </w:p>
    <w:tbl>
      <w:tblPr>
        <w:tblW w:w="11578" w:type="dxa"/>
        <w:jc w:val="left"/>
        <w:tblInd w:w="0" w:type="dxa"/>
        <w:tblLayout w:type="fixed"/>
        <w:tblCellMar>
          <w:top w:w="28" w:type="dxa"/>
          <w:left w:w="28" w:type="dxa"/>
          <w:bottom w:w="28" w:type="dxa"/>
          <w:right w:w="28" w:type="dxa"/>
        </w:tblCellMar>
      </w:tblPr>
      <w:tblGrid>
        <w:gridCol w:w="546"/>
        <w:gridCol w:w="228"/>
        <w:gridCol w:w="232"/>
        <w:gridCol w:w="220"/>
        <w:gridCol w:w="175"/>
        <w:gridCol w:w="176"/>
        <w:gridCol w:w="109"/>
        <w:gridCol w:w="109"/>
        <w:gridCol w:w="109"/>
        <w:gridCol w:w="211"/>
        <w:gridCol w:w="856"/>
        <w:gridCol w:w="109"/>
        <w:gridCol w:w="109"/>
        <w:gridCol w:w="109"/>
        <w:gridCol w:w="109"/>
        <w:gridCol w:w="274"/>
        <w:gridCol w:w="529"/>
        <w:gridCol w:w="143"/>
        <w:gridCol w:w="109"/>
        <w:gridCol w:w="109"/>
        <w:gridCol w:w="109"/>
        <w:gridCol w:w="249"/>
        <w:gridCol w:w="568"/>
        <w:gridCol w:w="12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2"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Recorded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 of deposits and term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HTM securities (1)</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bills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439,950 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1578" w:type="dxa"/>
        <w:jc w:val="left"/>
        <w:tblInd w:w="0" w:type="dxa"/>
        <w:tblLayout w:type="fixed"/>
        <w:tblCellMar>
          <w:top w:w="28" w:type="dxa"/>
          <w:left w:w="28" w:type="dxa"/>
          <w:bottom w:w="28" w:type="dxa"/>
          <w:right w:w="28" w:type="dxa"/>
        </w:tblCellMar>
      </w:tblPr>
      <w:tblGrid>
        <w:gridCol w:w="546"/>
        <w:gridCol w:w="228"/>
        <w:gridCol w:w="232"/>
        <w:gridCol w:w="220"/>
        <w:gridCol w:w="175"/>
        <w:gridCol w:w="176"/>
        <w:gridCol w:w="109"/>
        <w:gridCol w:w="109"/>
        <w:gridCol w:w="109"/>
        <w:gridCol w:w="211"/>
        <w:gridCol w:w="856"/>
        <w:gridCol w:w="109"/>
        <w:gridCol w:w="109"/>
        <w:gridCol w:w="109"/>
        <w:gridCol w:w="109"/>
        <w:gridCol w:w="249"/>
        <w:gridCol w:w="568"/>
        <w:gridCol w:w="129"/>
        <w:gridCol w:w="109"/>
        <w:gridCol w:w="109"/>
        <w:gridCol w:w="109"/>
        <w:gridCol w:w="249"/>
        <w:gridCol w:w="568"/>
        <w:gridCol w:w="12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5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2"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2"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level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cost basis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market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Recorded basis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 of deposits and term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HTM securities (1)</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bills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447,599 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    Changes in fair value of held-to-maturity ("HTM") securities are presented for disclosure purposes as required by ASC 320 "Investments — Debt Securities" and are recorded as finance expenses only if the unrealized loss is identified as a credit loss.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In accordance with ASC 820, "Fair Value Measurements and Disclosures," the Company measures its money market funds at fair value. The fair value of the money market funds and HTM securities, which is presented for disclosure purposes, is classified within Level 1 or Level 2. This is because these assets are valued using quoted market prices or alternative pricing sources and models utilizing market observable inputs.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and December 31, 2025, all investments mature in one year or less.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Unrealized losses from debt securities are primarily attributable to changes in interest rates. The Company does not believe any remaining unrealized losses represent credit losses based on the evaluation of available evidence.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3: INVENTORIES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Inventories are stated at the lower of cost or net realizable value. The weighted average methodology is applied to determine cost. As of June 30, 2026 and December 31, 2025, the Company’s inventories were composed of:</w:t>
      </w:r>
    </w:p>
    <w:tbl>
      <w:tblPr>
        <w:tblW w:w="4277" w:type="dxa"/>
        <w:jc w:val="left"/>
        <w:tblInd w:w="0" w:type="dxa"/>
        <w:tblLayout w:type="fixed"/>
        <w:tblCellMar>
          <w:top w:w="28" w:type="dxa"/>
          <w:left w:w="28" w:type="dxa"/>
          <w:bottom w:w="28" w:type="dxa"/>
          <w:right w:w="28" w:type="dxa"/>
        </w:tblCellMar>
      </w:tblPr>
      <w:tblGrid>
        <w:gridCol w:w="603"/>
        <w:gridCol w:w="529"/>
        <w:gridCol w:w="533"/>
        <w:gridCol w:w="211"/>
        <w:gridCol w:w="751"/>
        <w:gridCol w:w="109"/>
        <w:gridCol w:w="109"/>
        <w:gridCol w:w="109"/>
        <w:gridCol w:w="109"/>
        <w:gridCol w:w="229"/>
        <w:gridCol w:w="818"/>
        <w:gridCol w:w="167"/>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COMMITMENTS AND CONTINGENT LIABILITIES</w:t>
      </w:r>
    </w:p>
    <w:p>
      <w:pPr>
        <w:pStyle w:val="TextBody"/>
        <w:bidi w:val="0"/>
        <w:spacing w:lineRule="auto" w:line="288" w:before="120" w:after="283"/>
        <w:jc w:val="both"/>
        <w:rPr/>
      </w:pPr>
      <w:r>
        <w:rPr>
          <w:rFonts w:ascii="Arial;sans-serif" w:hAnsi="Arial;sans-serif"/>
          <w:b w:val="false"/>
          <w:i/>
          <w:color w:val="000000"/>
          <w:sz w:val="20"/>
        </w:rPr>
        <w:t xml:space="preserve">Operating Leases. </w:t>
      </w:r>
      <w:r>
        <w:rPr>
          <w:rFonts w:ascii="Arial;sans-serif" w:hAnsi="Arial;sans-serif"/>
          <w:b w:val="false"/>
          <w:color w:val="000000"/>
          <w:sz w:val="20"/>
        </w:rPr>
        <w:t>The facilities of the Company are leased under various operating lease agreements for periods, including options for extensions, ending no later than 2044. The Company also leases motor vehicles under various operating leases, which expire on various dates, the latest of which is in 2031.</w:t>
      </w:r>
    </w:p>
    <w:p>
      <w:pPr>
        <w:pStyle w:val="TextBody"/>
        <w:bidi w:val="0"/>
        <w:spacing w:lineRule="auto" w:line="288" w:before="240" w:after="283"/>
        <w:jc w:val="both"/>
        <w:rPr/>
      </w:pPr>
      <w:r>
        <w:rPr>
          <w:rFonts w:ascii="Arial;sans-serif" w:hAnsi="Arial;sans-serif"/>
          <w:b w:val="false"/>
          <w:i/>
          <w:color w:val="000000"/>
          <w:sz w:val="20"/>
        </w:rPr>
        <w:t xml:space="preserve">Pledged deposits and bank guarantees. </w:t>
      </w:r>
      <w:r>
        <w:rPr>
          <w:rFonts w:ascii="Arial;sans-serif" w:hAnsi="Arial;sans-serif"/>
          <w:b w:val="false"/>
          <w:color w:val="000000"/>
          <w:sz w:val="20"/>
        </w:rPr>
        <w:t>As of June 30, 2026 and December 31, 2025, the Company pledged bank deposits of $5,586</w:t>
      </w:r>
      <w:r>
        <w:rPr>
          <w:color w:val="000000"/>
        </w:rPr>
        <w:t xml:space="preserve"> </w:t>
      </w:r>
      <w:r>
        <w:rPr>
          <w:rFonts w:ascii="Arial;sans-serif" w:hAnsi="Arial;sans-serif"/>
          <w:b w:val="false"/>
          <w:color w:val="000000"/>
          <w:sz w:val="20"/>
        </w:rPr>
        <w:t>and $5,114, respectively, to cover bank guarantees in respect of its leases of operating facilities and obtained bank guarantees for the fulfillment of the Company’s lease and other contractual commitments of $6,061</w:t>
      </w:r>
      <w:r>
        <w:rPr>
          <w:color w:val="000000"/>
        </w:rPr>
        <w:t xml:space="preserve"> </w:t>
      </w:r>
      <w:r>
        <w:rPr>
          <w:rFonts w:ascii="Arial;sans-serif" w:hAnsi="Arial;sans-serif"/>
          <w:b w:val="false"/>
          <w:color w:val="000000"/>
          <w:sz w:val="20"/>
        </w:rPr>
        <w:t>and $5,554,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LONG-TERM DEBT, NET</w:t>
      </w:r>
    </w:p>
    <w:p>
      <w:pPr>
        <w:pStyle w:val="TextBody"/>
        <w:bidi w:val="0"/>
        <w:spacing w:lineRule="auto" w:line="276" w:before="120" w:after="283"/>
        <w:jc w:val="both"/>
        <w:rPr/>
      </w:pPr>
      <w:r>
        <w:rPr>
          <w:rFonts w:ascii="Arial;sans-serif" w:hAnsi="Arial;sans-serif"/>
          <w:b/>
          <w:color w:val="000000"/>
          <w:sz w:val="20"/>
        </w:rPr>
        <w:t>a.</w:t>
      </w:r>
      <w:r>
        <w:rPr>
          <w:rFonts w:ascii="Arial;sans-serif" w:hAnsi="Arial;sans-serif"/>
          <w:b/>
          <w:color w:val="000000"/>
          <w:sz w:val="20"/>
        </w:rPr>
        <w:t>Senior secured credit facility, net</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May 1, 2024 Novocure Luxembourg S.a.r.l. ("Borrower"), a wholly-owned subsidiary of the Company, entered into a five-year senior secured credit facility of up to $400,000 (the "Facility") with BPCR Limited Partnership and BioPharma Credit Investments V (Master) LP (collectively, the "Lenders"), BioPharma Credit PLC, as collateral agent for the Lenders, and the guarantors party to such agreement (the "Loan Agreement"). The Facility could be drawn in up to four drawings. The Loan Agreement provides for an initial term loan in the principal amount of $100,000 (the "Tranche A Loan"), which was funded to the Borrower on May 1, 2024 (the "Tranche A Funding Date"). Under the Loan Agreement, the Borrower was required to draw $100,000 on the Facility on or before September 30, 2025 (the "Tranche B Loan"), which was drawn down on that date. Not later than December 31, 2025, the Borrower had the option to draw an additional $100,000 of the Facility (the "Tranche C Loan"). In addition, not later than March 31, 2026, the Borrower had the option to draw an additional $100,000 of the Facility (the "Tranche D Loan"). As of June 30, 2026, the Company has borrowed the Tranche A Loan and the Tranche B Loan in the aggregate principal amount of $200,000. The Company did not did not give notice of its intent to borrow the Tranche C Loan. As a result, the Company no longer has the ability to borrow the Tranche C or Tranche D Loans. The obligations under the Loan Agreement are guaranteed by certain of the Company's subsidiaries and secured by a first lien on the Borrower's and certain of the Company's other subsidiaries’ assets. Outstanding term loans under the Loan Agreement will bear interest at an annual rate equal to 6.25% plus the three-months SOFR (subject to a 3.25% floor), payable quarterly in arrears and calculated on the basis of actual days elapsed in a 360-day year. The Borrower paid 2.5% of additional consideration on each principal draw, with payment for the Tranche A Loan and the Tranche B Loan paid on the Tranche A Funding Date. Principal under the Facility will be repaid in eight equal quarterly repayments commencing with the third quarter of 2027 and continuing each quarter thereafter, with the final payment of outstanding principal due on the fifth anniversary of the Tranche A Funding Date. Voluntary prepayment of all, but not less than all, of the term loans outstanding is permitted at any time, subject to make-whole and prepayment premiums as set forth in the Loan Agreement. Prepayment of all term loans outstanding, subject to make-whole and prepayment premiums, is due and payable upon a change-in-control as defined in the Loan Agreement. Make-whole and prepayment premiums are due and payable for the Tranche B Loans for any voluntary prepayment of the term loans outstanding, upon a change-in-control (as defined in the Loan Agreement), and upon any acceleration of the maturity date, in each case regardless of whether the Tranche B Loan is drawn.</w:t>
      </w:r>
    </w:p>
    <w:tbl>
      <w:tblPr>
        <w:tblW w:w="7006" w:type="dxa"/>
        <w:jc w:val="left"/>
        <w:tblInd w:w="0" w:type="dxa"/>
        <w:tblLayout w:type="fixed"/>
        <w:tblCellMar>
          <w:top w:w="28" w:type="dxa"/>
          <w:left w:w="28" w:type="dxa"/>
          <w:bottom w:w="28" w:type="dxa"/>
          <w:right w:w="28" w:type="dxa"/>
        </w:tblCellMar>
      </w:tblPr>
      <w:tblGrid>
        <w:gridCol w:w="1473"/>
        <w:gridCol w:w="1294"/>
        <w:gridCol w:w="1297"/>
        <w:gridCol w:w="211"/>
        <w:gridCol w:w="856"/>
        <w:gridCol w:w="109"/>
        <w:gridCol w:w="109"/>
        <w:gridCol w:w="109"/>
        <w:gridCol w:w="109"/>
        <w:gridCol w:w="109"/>
        <w:gridCol w:w="109"/>
        <w:gridCol w:w="211"/>
        <w:gridCol w:w="85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Liability component, net:</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Unamortized issuance costs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carrying amount of liability component (1)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 An effective interest rate determines the fair value of the Notes, therefore they are categorized as Level 3 in accordance with ASC 820. The estimated fair value of the net carrying amount of liability component of the Notes as of June 30, 2026 and December 31, 2025 were $208,923 and $215,538,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net carrying amount of the liability is represented by the principal amount of the Notes, less total issuance costs plus any amortization of issuance costs. The total issuance costs upon issuance of the Notes were $6,177 and are amortized to interest expense using the effective interest rate method over the contractual term of the Notes. For purposes of calculating the net carrying amount, the annual effective interest rate is assumed to be 11.7% over the remaining contractual term of the Notes.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Finance expense related to the Facility was as follows:</w:t>
      </w:r>
    </w:p>
    <w:tbl>
      <w:tblPr>
        <w:tblW w:w="10205" w:type="dxa"/>
        <w:jc w:val="left"/>
        <w:tblInd w:w="0" w:type="dxa"/>
        <w:tblLayout w:type="fixed"/>
        <w:tblCellMar>
          <w:top w:w="28" w:type="dxa"/>
          <w:left w:w="28" w:type="dxa"/>
          <w:bottom w:w="28" w:type="dxa"/>
          <w:right w:w="28" w:type="dxa"/>
        </w:tblCellMar>
      </w:tblPr>
      <w:tblGrid>
        <w:gridCol w:w="1027"/>
        <w:gridCol w:w="900"/>
        <w:gridCol w:w="910"/>
        <w:gridCol w:w="225"/>
        <w:gridCol w:w="691"/>
        <w:gridCol w:w="116"/>
        <w:gridCol w:w="116"/>
        <w:gridCol w:w="116"/>
        <w:gridCol w:w="116"/>
        <w:gridCol w:w="225"/>
        <w:gridCol w:w="691"/>
        <w:gridCol w:w="116"/>
        <w:gridCol w:w="109"/>
        <w:gridCol w:w="109"/>
        <w:gridCol w:w="109"/>
        <w:gridCol w:w="211"/>
        <w:gridCol w:w="751"/>
        <w:gridCol w:w="109"/>
        <w:gridCol w:w="109"/>
        <w:gridCol w:w="109"/>
        <w:gridCol w:w="109"/>
        <w:gridCol w:w="211"/>
        <w:gridCol w:w="646"/>
        <w:gridCol w:w="109"/>
        <w:gridCol w:w="109"/>
        <w:gridCol w:w="109"/>
        <w:gridCol w:w="109"/>
        <w:gridCol w:w="365"/>
        <w:gridCol w:w="1302"/>
        <w:gridCol w:w="271"/>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w:t>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Interest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Total finance expense recognized</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REVENUE RECOGNITION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     Net revenues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net revenues by geographic region, based on the patient’s location are summarized as follows:</w:t>
      </w:r>
    </w:p>
    <w:tbl>
      <w:tblPr>
        <w:tblW w:w="10205" w:type="dxa"/>
        <w:jc w:val="left"/>
        <w:tblInd w:w="0" w:type="dxa"/>
        <w:tblLayout w:type="fixed"/>
        <w:tblCellMar>
          <w:top w:w="28" w:type="dxa"/>
          <w:left w:w="28" w:type="dxa"/>
          <w:bottom w:w="28" w:type="dxa"/>
          <w:right w:w="28" w:type="dxa"/>
        </w:tblCellMar>
      </w:tblPr>
      <w:tblGrid>
        <w:gridCol w:w="723"/>
        <w:gridCol w:w="636"/>
        <w:gridCol w:w="58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387"/>
        <w:gridCol w:w="1574"/>
        <w:gridCol w:w="286"/>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Year ended December 31,</w:t>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France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international markets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 - Total</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250,280 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Greater China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655,353 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 For additional information, see Notes 12 and 13 to the Consolidated Financial Statements in the 2025 10-K.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net revenues by performance period are as follows:</w:t>
      </w:r>
    </w:p>
    <w:tbl>
      <w:tblPr>
        <w:tblW w:w="10205" w:type="dxa"/>
        <w:jc w:val="left"/>
        <w:tblInd w:w="0" w:type="dxa"/>
        <w:tblLayout w:type="fixed"/>
        <w:tblCellMar>
          <w:top w:w="28" w:type="dxa"/>
          <w:left w:w="28" w:type="dxa"/>
          <w:bottom w:w="28" w:type="dxa"/>
          <w:right w:w="28" w:type="dxa"/>
        </w:tblCellMar>
      </w:tblPr>
      <w:tblGrid>
        <w:gridCol w:w="998"/>
        <w:gridCol w:w="876"/>
        <w:gridCol w:w="88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48"/>
        <w:gridCol w:w="1007"/>
        <w:gridCol w:w="183"/>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 recognized in the reporting period from performance obligations satisfied in: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Reporting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632,358 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periods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655,353 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     Contract balances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about trade receivables, unbilled receivables and contract liabilities from contracts with customers:</w:t>
      </w:r>
    </w:p>
    <w:tbl>
      <w:tblPr>
        <w:tblW w:w="7023" w:type="dxa"/>
        <w:jc w:val="left"/>
        <w:tblInd w:w="0" w:type="dxa"/>
        <w:tblLayout w:type="fixed"/>
        <w:tblCellMar>
          <w:top w:w="28" w:type="dxa"/>
          <w:left w:w="28" w:type="dxa"/>
          <w:bottom w:w="28" w:type="dxa"/>
          <w:right w:w="28" w:type="dxa"/>
        </w:tblCellMar>
      </w:tblPr>
      <w:tblGrid>
        <w:gridCol w:w="1575"/>
        <w:gridCol w:w="1385"/>
        <w:gridCol w:w="1390"/>
        <w:gridCol w:w="211"/>
        <w:gridCol w:w="811"/>
        <w:gridCol w:w="109"/>
        <w:gridCol w:w="109"/>
        <w:gridCol w:w="109"/>
        <w:gridCol w:w="109"/>
        <w:gridCol w:w="218"/>
        <w:gridCol w:w="838"/>
        <w:gridCol w:w="159"/>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receivables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 (short-term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(15,948)</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and 2025 and the year ended December 31, 2025 the Company recognized $15,948, $14,225 and $14,225, respectively, which were included in the deferred revenues (short-term contract liability) balance at January 1, 2026 and 2025.</w:t>
      </w:r>
    </w:p>
    <w:p>
      <w:pPr>
        <w:pStyle w:val="TextBody"/>
        <w:bidi w:val="0"/>
        <w:spacing w:before="2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7: SHARE OPTION PLANS AND ESPP</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April 2024, the Company adopted the 2024 Omnibus Incentive Plan (the "2024 Plan"), which replaced the 2015 Omnibus Incentive Plan (the "2015 Plan"). Effective June 3, 2026, the 2024 Plan was amended following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the Company's shareholders to add an additional 9,000,000 ordinary shares eligible for grant under the 2024 Plan. Under the 2024 Plan, the Company can issue various types of equity compensation awards such as share options, restricted shares, performance shares, restricted share units (“RSUs”), performance-based share units (“PSUs”), long-term cash awards and other share-based awards. The total number of shares of the Company’s ordinary shares that may be granted under the 2024 Plan consists of (i) 17,566,982 ordinary shares plus (ii) the number of undelivered shares subject to outstanding awards under the 2015 Plan that become available for future awards under the 2024 Plan as provided for in the 2024 Plan.</w:t>
      </w:r>
    </w:p>
    <w:p>
      <w:pPr>
        <w:pStyle w:val="TextBody"/>
        <w:bidi w:val="0"/>
        <w:spacing w:lineRule="auto" w:line="288" w:before="240" w:after="283"/>
        <w:jc w:val="both"/>
        <w:rPr/>
      </w:pPr>
      <w:r>
        <w:rPr>
          <w:rFonts w:ascii="Arial;sans-serif" w:hAnsi="Arial;sans-serif"/>
          <w:b w:val="false"/>
          <w:color w:val="000000"/>
          <w:sz w:val="20"/>
        </w:rPr>
        <w:t>Options granted under the 2024 Plan generally will have a two-year or four-year vesting period and expire ten</w:t>
      </w:r>
      <w:r>
        <w:rPr>
          <w:color w:val="000000"/>
        </w:rPr>
        <w:t xml:space="preserve"> </w:t>
      </w:r>
      <w:r>
        <w:rPr>
          <w:rFonts w:ascii="Arial;sans-serif" w:hAnsi="Arial;sans-serif"/>
          <w:b w:val="false"/>
          <w:color w:val="000000"/>
          <w:sz w:val="20"/>
        </w:rPr>
        <w:t>years after the date of grant. Options granted under the 2015 Plan and 2024 Plan that are canceled or forfeited before expiration become available for future grants under the 2024 Plan. RSUs granted under the 2024 Plan generally will vest over a three-year period. PSUs granted under the 2024 Plan generally will vest between a three - and six-year period as performance targets are attained. The 2024 Plan provides that all share-based awards have a minimum one-year vesting period from the date of grant, except for awards to non-employee directors that vest on the earlier of the first anniversary of the date of grant or the next annual general meeting of shareholders (not less than 50 weeks after grant), and other exceptions granted by the Compensation Committee of the Board of Directors, up to a maximum of five percent (5%) of the available share pool. RSUs and PSUs granted under the 2015 Plan and 2024 Plan that are canceled before expiration become available for future grants under the 2024 Plan.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June 30, 2026, 13,142,164 ordinary shares were available for grant under the 2024 Plan.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summary of the status of the Company’s option plans as of June 30, 2026 and changes during the period then ended is presented below:</w:t>
      </w:r>
    </w:p>
    <w:tbl>
      <w:tblPr>
        <w:tblW w:w="6558" w:type="dxa"/>
        <w:jc w:val="left"/>
        <w:tblInd w:w="0" w:type="dxa"/>
        <w:tblLayout w:type="fixed"/>
        <w:tblCellMar>
          <w:top w:w="28" w:type="dxa"/>
          <w:left w:w="28" w:type="dxa"/>
          <w:bottom w:w="28" w:type="dxa"/>
          <w:right w:w="28" w:type="dxa"/>
        </w:tblCellMar>
      </w:tblPr>
      <w:tblGrid>
        <w:gridCol w:w="1070"/>
        <w:gridCol w:w="941"/>
        <w:gridCol w:w="944"/>
        <w:gridCol w:w="563"/>
        <w:gridCol w:w="563"/>
        <w:gridCol w:w="311"/>
        <w:gridCol w:w="176"/>
        <w:gridCol w:w="176"/>
        <w:gridCol w:w="176"/>
        <w:gridCol w:w="342"/>
        <w:gridCol w:w="1047"/>
        <w:gridCol w:w="249"/>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options</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10,827,353 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(209,216)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canceled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(1,058,071)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June 30, 2026</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10,552,995 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options</w:t>
            </w:r>
          </w:p>
        </w:tc>
        <w:tc>
          <w:tcPr>
            <w:tcW w:w="11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7,437,725 </w:t>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summary of the status of the Company’s RSUs and PSUs as of June 30, 2026 and changes during the period then ended is presented below.</w:t>
      </w:r>
    </w:p>
    <w:tbl>
      <w:tblPr>
        <w:tblW w:w="6769" w:type="dxa"/>
        <w:jc w:val="left"/>
        <w:tblInd w:w="0" w:type="dxa"/>
        <w:tblLayout w:type="fixed"/>
        <w:tblCellMar>
          <w:top w:w="28" w:type="dxa"/>
          <w:left w:w="28" w:type="dxa"/>
          <w:bottom w:w="28" w:type="dxa"/>
          <w:right w:w="28" w:type="dxa"/>
        </w:tblCellMar>
      </w:tblPr>
      <w:tblGrid>
        <w:gridCol w:w="1089"/>
        <w:gridCol w:w="960"/>
        <w:gridCol w:w="965"/>
        <w:gridCol w:w="563"/>
        <w:gridCol w:w="563"/>
        <w:gridCol w:w="376"/>
        <w:gridCol w:w="176"/>
        <w:gridCol w:w="176"/>
        <w:gridCol w:w="176"/>
        <w:gridCol w:w="360"/>
        <w:gridCol w:w="1103"/>
        <w:gridCol w:w="262"/>
      </w:tblGrid>
      <w:tr>
        <w:trPr/>
        <w:tc>
          <w:tcPr>
            <w:tcW w:w="108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RSU/PSUs</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at beginning of year</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13,134,654 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4,952,953 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(3,552,865)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RSUs withheld for tax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cancelled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(3,362,496)</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June 30, 2026 (1)</w:t>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11,131,296 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 Includes PSUs that have a mix of service, market and other milestone performance vesting conditions which are vested upon achievements of performance milestones that are not probable as of June 30, 2026, in accordance with ASC 718 "Compensation - Stock Compensation" as follows:</w:t>
      </w:r>
    </w:p>
    <w:tbl>
      <w:tblPr>
        <w:tblW w:w="7298" w:type="dxa"/>
        <w:jc w:val="left"/>
        <w:tblInd w:w="0" w:type="dxa"/>
        <w:tblLayout w:type="fixed"/>
        <w:tblCellMar>
          <w:top w:w="28" w:type="dxa"/>
          <w:left w:w="28" w:type="dxa"/>
          <w:bottom w:w="28" w:type="dxa"/>
          <w:right w:w="28" w:type="dxa"/>
        </w:tblCellMar>
      </w:tblPr>
      <w:tblGrid>
        <w:gridCol w:w="124"/>
        <w:gridCol w:w="109"/>
        <w:gridCol w:w="109"/>
        <w:gridCol w:w="510"/>
        <w:gridCol w:w="511"/>
        <w:gridCol w:w="316"/>
        <w:gridCol w:w="109"/>
        <w:gridCol w:w="109"/>
        <w:gridCol w:w="109"/>
        <w:gridCol w:w="567"/>
        <w:gridCol w:w="1736"/>
        <w:gridCol w:w="292"/>
        <w:gridCol w:w="109"/>
        <w:gridCol w:w="109"/>
        <w:gridCol w:w="109"/>
        <w:gridCol w:w="448"/>
        <w:gridCol w:w="1595"/>
        <w:gridCol w:w="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15"/>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r>
              <w:rPr>
                <w:rFonts w:ascii="Arial;sans-serif" w:hAnsi="Arial;sans-serif"/>
                <w:b/>
                <w:color w:val="000000"/>
                <w:sz w:val="16"/>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at grant date per PSU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at 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12,056 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373,003 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1,888,529 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29,278 </w:t>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These PSUs will be expensed over the performance period when the vesting conditions become probable in accordance with ASC 718.</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February 2025, the Company adopted the 2025 Novocure Employee Share Purchase Plan ("ESPP"), effective June 4, 2025 (the "ESPP Effective Date"), following approval from the Company's shareholders. The ESPP replaced the Company's expiring prior employee share purchase plan, which was adopted in 2015 (the "Prior ESPP"). The purpose of the ESPP is to encourage and enable eligible employees to acquire ownership of the Company’s ordinary shares purchased through accumulated payroll deductions on an after-tax basis. The total number of shares of the Company’s ordinary shares that may be issued under the ESPP is 6,366,651 shares. In the United States, the ESPP is intended to be an “employee stock purchase plan” within the meaning of Section 423 of the Internal Revenue Code and the provisions of the ESPP are construed in a manner consistent with the requirements of such section. As of June 30, 2026, 6,040,676 ordinary shares were available to be purchased by eligible employees under the ESPP.</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share-based awards was estimated using the Black-Scholes model for all equity grants. For market condition awards, the Company also applied the Monte-Carlo simulation model. The Company assessed fair value using the following underlying assumptions: </w:t>
      </w:r>
    </w:p>
    <w:tbl>
      <w:tblPr>
        <w:tblW w:w="7625" w:type="dxa"/>
        <w:jc w:val="left"/>
        <w:tblInd w:w="0" w:type="dxa"/>
        <w:tblLayout w:type="fixed"/>
        <w:tblCellMar>
          <w:top w:w="28" w:type="dxa"/>
          <w:left w:w="28" w:type="dxa"/>
          <w:bottom w:w="28" w:type="dxa"/>
          <w:right w:w="28" w:type="dxa"/>
        </w:tblCellMar>
      </w:tblPr>
      <w:tblGrid>
        <w:gridCol w:w="744"/>
        <w:gridCol w:w="654"/>
        <w:gridCol w:w="656"/>
        <w:gridCol w:w="274"/>
        <w:gridCol w:w="274"/>
        <w:gridCol w:w="727"/>
        <w:gridCol w:w="183"/>
        <w:gridCol w:w="183"/>
        <w:gridCol w:w="183"/>
        <w:gridCol w:w="274"/>
        <w:gridCol w:w="274"/>
        <w:gridCol w:w="727"/>
        <w:gridCol w:w="109"/>
        <w:gridCol w:w="109"/>
        <w:gridCol w:w="109"/>
        <w:gridCol w:w="424"/>
        <w:gridCol w:w="424"/>
        <w:gridCol w:w="129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br/>
              <w:t>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Stock Option Plans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5.50-5.84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5.50-5.79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5.50-5.79</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77%-79%</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75%-77%</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3.68%-4.13%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4.01%-4.02%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4.01%-4.02%</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ESPP</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56%-89%</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4.16%-4.20%</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total non-cash share-based compensation expense related to all of the Company’s equity-based awards recognized for the three and six months ended June 30, 2026 and 2025, and the year ended December 31, 2025 was: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42"/>
        <w:gridCol w:w="850"/>
        <w:gridCol w:w="85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304"/>
        <w:gridCol w:w="1238"/>
        <w:gridCol w:w="224"/>
      </w:tblGrid>
      <w:tr>
        <w:trPr/>
        <w:tc>
          <w:tcPr>
            <w:tcW w:w="114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br/>
              <w:t>2025</w:t>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3,627 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25,538 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 and administrative (1)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104,832 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(1) On February 11, 2026, the U.S. Food and Drug Administration approved Optune Pax for the treatment of adult patients with locally advanced pancreatic cancer concomitant with gemcitabine and nab-paclitaxel. As a result of this approval,we expensed approximately $43,406 related to the vesting of 901,284 PSUs granted in March 2020 to an executive officer that were not distributed and were forfeited and cancelled (see RSU/PSU summary table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Basic and diluted net income (loss) per ordinary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Basic net income (loss) per share is computed based on the weighted average number of ordinary shares outstanding during each period. Diluted net income per share is computed based on the weighted average number of ordinary shares outstanding during the period, plus potential dilutive shares (deriving from options, RSUs, PSUs, Notes and the ESPP) considered outstanding during the period, in accordance with ASC 260-10 "Earnings Per Share", as determined under the treasury stock or if-converted method, as applicable.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the Company’s basic and diluted net income (loss) per ordinary share:</w:t>
      </w:r>
    </w:p>
    <w:tbl>
      <w:tblPr>
        <w:tblW w:w="10205" w:type="dxa"/>
        <w:jc w:val="left"/>
        <w:tblInd w:w="0" w:type="dxa"/>
        <w:tblLayout w:type="fixed"/>
        <w:tblCellMar>
          <w:top w:w="28" w:type="dxa"/>
          <w:left w:w="28" w:type="dxa"/>
          <w:bottom w:w="28" w:type="dxa"/>
          <w:right w:w="28" w:type="dxa"/>
        </w:tblCellMar>
      </w:tblPr>
      <w:tblGrid>
        <w:gridCol w:w="850"/>
        <w:gridCol w:w="615"/>
        <w:gridCol w:w="616"/>
        <w:gridCol w:w="270"/>
        <w:gridCol w:w="961"/>
        <w:gridCol w:w="109"/>
        <w:gridCol w:w="109"/>
        <w:gridCol w:w="109"/>
        <w:gridCol w:w="109"/>
        <w:gridCol w:w="270"/>
        <w:gridCol w:w="961"/>
        <w:gridCol w:w="109"/>
        <w:gridCol w:w="109"/>
        <w:gridCol w:w="109"/>
        <w:gridCol w:w="109"/>
        <w:gridCol w:w="270"/>
        <w:gridCol w:w="961"/>
        <w:gridCol w:w="109"/>
        <w:gridCol w:w="109"/>
        <w:gridCol w:w="109"/>
        <w:gridCol w:w="109"/>
        <w:gridCol w:w="270"/>
        <w:gridCol w:w="961"/>
        <w:gridCol w:w="109"/>
        <w:gridCol w:w="109"/>
        <w:gridCol w:w="109"/>
        <w:gridCol w:w="109"/>
        <w:gridCol w:w="353"/>
        <w:gridCol w:w="938"/>
        <w:gridCol w:w="165"/>
      </w:tblGrid>
      <w:tr>
        <w:trPr/>
        <w:tc>
          <w:tcPr>
            <w:tcW w:w="8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br/>
              <w:t>2025</w:t>
            </w:r>
          </w:p>
        </w:tc>
      </w:tr>
      <w:tr>
        <w:trPr/>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ordinary shares as reported used in computing basic and diluted net income (loss) per share</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(136,227)</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ordinary shares used in computing diluted net income (loss) per share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116,012,397 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111,572,191 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115,106,850 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110,930,576 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111,471,991 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Potentially anti-dilutive shares that were excluded from the computation of basic net income (loss) per share: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9,297,875 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RSUs and PSUs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4,781,731 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ESPP</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anti-dilutive shares outstanding which were not included in the diluted calculation</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12,826,679 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13,575,686 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13,097,790 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13,943,014 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14,288,460 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income (loss) per ordinary share</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9: SUPPLEMENTAL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operates in a single reportable segment.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long-lived assets by location:</w:t>
      </w:r>
    </w:p>
    <w:tbl>
      <w:tblPr>
        <w:tblW w:w="4809" w:type="dxa"/>
        <w:jc w:val="left"/>
        <w:tblInd w:w="0" w:type="dxa"/>
        <w:tblLayout w:type="fixed"/>
        <w:tblCellMar>
          <w:top w:w="28" w:type="dxa"/>
          <w:left w:w="28" w:type="dxa"/>
          <w:bottom w:w="28" w:type="dxa"/>
          <w:right w:w="28" w:type="dxa"/>
        </w:tblCellMar>
      </w:tblPr>
      <w:tblGrid>
        <w:gridCol w:w="755"/>
        <w:gridCol w:w="663"/>
        <w:gridCol w:w="667"/>
        <w:gridCol w:w="211"/>
        <w:gridCol w:w="856"/>
        <w:gridCol w:w="109"/>
        <w:gridCol w:w="109"/>
        <w:gridCol w:w="109"/>
        <w:gridCol w:w="109"/>
        <w:gridCol w:w="211"/>
        <w:gridCol w:w="85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Audited</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Israel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 lived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Management’s Discussion and Analysis of Financial Condition and Results of Operations (“MD&amp;A”) is intended to provide information to assist you in better understanding and evaluating our financial condition and results of operations. We encourage you to read this MD&amp;A in conjunction with our unaudited consolidated financial statements and the notes thereto for the period ended June 30, 2026 included in Part I, Item 1 of this Quarterly Report on Form 10-Q. This discussion contains forward-looking statements that involve risks and uncertainties. Please refer to the information under the heading “Cautionary Note Regarding Forward-Looking Statements” elsewhere in this report. References to the words “we,” “our,” “us,” and the “Company” in this report refer to NovoCure Limited, including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accordance with U.S. generally accepted accounting principles (“GAAP”), in preparing our financial statements, we must make estimates and assumptions that affect the reported amounts of assets and liabilities, the disclosure of contingent assets and liabilities as of the date of the financial statements and the reported amounts of net revenues and expenses during the reporting period. We develop and periodically change these estimates and assumptions based on historical experience and on various other factors that we believe are reasonable under the circumstances. Actual results may differ from these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critical accounting policies requiring estimates, assumptions and judgments that we believe have the most significant impact on our consolidated financial statements can be found in our Annual Report on Form 10-K for the fiscal year ended December 31, 2025 (the "2025 10-K"). For additional information, see Note 1 to our unaudited consolidated financial statements in Part I, Item 1 of this Quarterly Report. There were no other material changes to our critical accounting policies and estimates as compared to the critical accounting policies and estimates described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120" w:after="283"/>
        <w:jc w:val="both"/>
        <w:rPr/>
      </w:pPr>
      <w:r>
        <w:rPr>
          <w:rFonts w:ascii="Arial;sans-serif" w:hAnsi="Arial;sans-serif"/>
          <w:b w:val="false"/>
          <w:color w:val="000000"/>
          <w:sz w:val="20"/>
        </w:rPr>
        <w:t>We are a global oncology company with a proprietary platform technology called Tumor Treating Fields ("TTFields"), which are electric fields that exert physical forces to kill cancer cells. Our therapy is delivered through a medical device. Our key priorities are to drive commercial adoption of Optune Gio</w:t>
      </w:r>
      <w:r>
        <w:rPr>
          <w:rFonts w:ascii="Arial;sans-serif" w:hAnsi="Arial;sans-serif"/>
          <w:b w:val="false"/>
          <w:color w:val="000000"/>
          <w:sz w:val="13"/>
        </w:rPr>
        <w:t>®</w:t>
      </w:r>
      <w:r>
        <w:rPr>
          <w:rFonts w:ascii="Arial;sans-serif" w:hAnsi="Arial;sans-serif"/>
          <w:b w:val="false"/>
          <w:color w:val="000000"/>
          <w:sz w:val="20"/>
        </w:rPr>
        <w:t>, Optune Lua</w:t>
      </w:r>
      <w:r>
        <w:rPr>
          <w:rFonts w:ascii="Arial;sans-serif" w:hAnsi="Arial;sans-serif"/>
          <w:b w:val="false"/>
          <w:color w:val="000000"/>
          <w:sz w:val="13"/>
        </w:rPr>
        <w:t>®</w:t>
      </w:r>
      <w:r>
        <w:rPr>
          <w:rFonts w:ascii="Arial;sans-serif" w:hAnsi="Arial;sans-serif"/>
          <w:b w:val="false"/>
          <w:color w:val="000000"/>
          <w:sz w:val="20"/>
        </w:rPr>
        <w:t>, and Optune Pax</w:t>
      </w:r>
      <w:r>
        <w:rPr>
          <w:rFonts w:ascii="Arial;sans-serif" w:hAnsi="Arial;sans-serif"/>
          <w:b w:val="false"/>
          <w:color w:val="000000"/>
          <w:sz w:val="13"/>
        </w:rPr>
        <w:t xml:space="preserve">® </w:t>
      </w:r>
      <w:r>
        <w:rPr>
          <w:rFonts w:ascii="Arial;sans-serif" w:hAnsi="Arial;sans-serif"/>
          <w:b w:val="false"/>
          <w:color w:val="000000"/>
          <w:sz w:val="20"/>
        </w:rPr>
        <w:t>(collectively, our "Products"), our commercial TTFields therapy devices, obtain regulatory approval to market TTFields therapy devices in new indications, such as brain metastases from non-small cell lung cancer ("NSCLC"), and to advance clinical and product development programs intended to extend overall survival in some of the most aggressive forms of cancer.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Optune Gio is approved by the U.S. Food and Drug Administration ("FDA") under the Premarket Approval ("PMA") pathway for the treatment of adult patients with newly diagnosed glioblastoma ("GBM") together with temozolomide, a chemotherapy drug, and for adult patients with GBM following confirmed recurrence after chemotherapy as monotherapy treatment. We also have a CE certificate to market Optune Gio for the treatment of GBM in the European Union ("EU"), as well as approval or local registration in the United Kingdom ("UK"), Japan, Canada and certain other countries.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Optune Lua is approved by the FDA under the PMA pathway for the treatment of adult patients with metastatic NSCLC concurrent with PD-1/PD-L1 inhibitors or docetaxel following progression on or after a platinum-based regimen. We also have a CE certificate to market Optune Lua concurrent with PD-1/PD-L1 inhibitors or docetaxel following progression on or after a platinum-based regimen for the treatment of metastatic NSCLC in the EU. In addition, we received regulatory approval in Japan for the use of Optune Lua for the treatment of adult patients with unresectable advanced/recurrent NSCLC concurrent with PD-1/PD-L1 inhibitors following progression on or after a platinum-based regimen.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Optune Lua is also approved by the FDA under the Humanitarian Device Exemption ("HDE") pathway for the treatment of adult patients with malignant pleural mesothelioma or pleural mesothelioma (together, "MPM") together with standard chemotherapies. We have also have a CE certificate in the EU and approval or local registration to market Optune Lua for the treatment of MPM in certain other countries.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Optune Pax is approved by the FDA under the PMA pathway for the treatment of adult patients with locally advanced pancreatic cancer concurrent with gemcitabine and nab-paclitaxel. We also have a CE certificate to market Optune Pax for the treatment of adult patients with locally advanced pancreatic cancer of exocrine origin,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concomitant with gemcitabine and nab-paclitaxel in accordance with guideline recommendations. We have submitted the regulatory application required to market Optune Pax in Japan.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market our Products in multiple countries around the globe with the majority of our revenues coming from the use of Optune Gio in the U.S., Germany, France and Japan. We are actively evaluating opportunities to expand access to Optune Gio, Optune Lua and Optune Pax in additional international markets.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established coverage policies with both public and private payers for the use of Optune Gio in our active markets. In March, we announced the approval of a national reimbursement coverage policy in Japan for the use of Optune Lua for the treatment of NSCLC. We are actively pursuing coverage policies with payers to expand access to our Products and in the meantime we will bill and seek reimbursement from payers on an individual case basis, as applicable. </w:t>
      </w:r>
    </w:p>
    <w:p>
      <w:pPr>
        <w:pStyle w:val="TextBody"/>
        <w:bidi w:val="0"/>
        <w:spacing w:lineRule="auto" w:line="288" w:before="120" w:after="283"/>
        <w:jc w:val="both"/>
        <w:rPr/>
      </w:pPr>
      <w:r>
        <w:rPr>
          <w:rFonts w:ascii="Arial;sans-serif" w:hAnsi="Arial;sans-serif"/>
          <w:b w:val="false"/>
          <w:color w:val="000000"/>
          <w:sz w:val="20"/>
        </w:rPr>
        <w:t>In September 2025, we presented final data from the Phase 3 METIS clinical trial evaluating the use of TTFields therapy and best supportive care for the treatment of adult patients (n=298) with 1-10 brain metastases from NSCLC following stereotactic radiosurgery ("METIS") at the 2025 American Society for Radiation Oncology Annual Meeting. The METIS trial met its primary endpoint, demonstrating a statistically significant improvement in time to intracranial progression for patients treated with TTFields therapy and supportive care compared to patients treated with supportive care alone. In December 2025, we submitted the final module of our PMA application with the FDA seeking approval for the use of TTFields therapy for the treatment of brain metastases from NSCLC under the brand name Optune Mya</w:t>
      </w:r>
      <w:r>
        <w:rPr>
          <w:rFonts w:ascii="Arial;sans-serif" w:hAnsi="Arial;sans-serif"/>
          <w:b w:val="false"/>
          <w:color w:val="000000"/>
          <w:sz w:val="13"/>
        </w:rPr>
        <w:t>®</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March, we announced topline results from the Phase 2 PANOVA-4 clinical trial ("PANOVA-4") evaluating the use of TTFields therapy together with atezolizumab, gemcitabine and nab-paclitaxel (collectively, "systemic therapies") for the treatment of metastatic pancreatic cancer. PANOVA-4 met its pre-specified primary endpoint, achieving a statistically significant improvement in disease control rate (DCR) compared to the DCR reported in the Phase 3 MPACT study used as the historical control. Patients in PANOVA-4 achieved a DCR of 74% compared 48% in patients receiving gemcitabine and nab-paclitaxel alone (N=431) in the MPACT trial (difference = 26.4%, 1-sided p-value &lt; 0.001). Secondary endpoint analyses for overall survival (OS) and objective response rate (ORR) were also completed, with PANOVA-4 patients exhibiting a median OS of 9.7 months and ORR of 34.6% (95% CI, 24.2% - 46.2%). Median duration of treatment with TTFields therapy was 25.6 weeks and six cycles of systemic therapies. TTFields therapy was well-tolerated and device related safety was consistent with prior clinical studies.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June, we announced topline results from the Phase 3 TRIDENT trial ("TRIDENT"), evaluating the initiation of TTFields therapy at the start of chemoradiation ("Early Start Arm") compared to initiation of TTFields therapy during the maintenance phase of treatment ("Maintenance Start Arm"), following completion of chemoradiation, for the treatment of newly diagnosed GBM. TRIDENT did not show a statistically significant improvement in the primary endpoint of overall survival. Patients randomized to the Early Start Arm demonstrated a median overall survival of 17.7 months compared to 17.5 months in the Maintenance Start Arm (HR 0.953; p=0.519). Survival results in both study arms were durable over a long-term period. One-, two-, and three-year survivals rates in the Early Start Arm were 70.9%, 33.9%, and 22.5%, respectively, and 72.0%, 31.6%, and 18.4%, respectively, in the Maintenance Start Arm. TTFields therapy was well-tolerated and device related safety was consistent with prior clinical studies. Full results from the TRIDENT trial have been accepted for presentation at the American Society for Radiation Oncology 2026 Annual Meeting.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June, we announced that we received a CE certificate to market Optune Pax for the first-line treatment of locally advanced pancreatic cancer of exocrine origin, concomitant with gemcitabine and nab-paclitaxel (gem/nab-pac) in accordance with guideline recommendations. The CE Mark is supported by data from the Phase 3 PANOVA-3 trial ("PANOVA-3"), which demonstrated a statistically significant improvement in median OS for patients treated with Optune Pax and gem/nab-pac, compared to patients who received gem/nab-pac alone, while also significantly extending time to pain progression. Because the use of gem/nab-pac may vary by market, the approved CE certificate intended purpose for Optune Pax includes a reference to guideline recommendations to account for local differences. We began certifying prescribing physicians for Optune Pax in Germany in July.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believe the physical mechanisms of action behind TTFields therapy may be broadly applicable to solid tumor cancers. We have several ongoing clinical trials which further explore the use of TTFields therapy in these solid tumor cancers, including our Phase 3 KEYNOTE D58 trial in GBM, which we expect to complete enrollment by the end of 2026, and our Phase 3 LUNAR-2 trial in NSCLC. We anticipate expanding our clinical pipeline over time to study the safety and efficacy of TTFields therapy for our existing and additional solid tumor indications and for use together with other cancer treatment modalities.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exploring options to modify our LUNAR-2 trial design with the goals of compressing the timeline to completion and significantly reducing costs. We anticipate engaging with regulators in the coming months regarding potential protocol revisions to streamline the trial’s primary endpoints with the goal of reducing the patient sample size.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several product development programs underway that are designed to optimize the delivery of TTFields to the target tumor and enhance patient ease of use. Our intellectual property portfolio contains hundreds of issued patents and numerous patent applications pending worldwide. We believe we possess global commercialization rights to our Products in oncology and are well-positioned to extend those rights into the future as we continue to find innovative ways to improve our 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2018, we granted Zai Lab (Shanghai) Co., Ltd. ("Zai") a license to commercialize our Products in China, Hong Kong, Macau and Taiwan ("Greater China") under a License and Collaboration Agreement (the "Zai Agreement"). The Zai Agreement also establishes a development partnership intended to accelerate the development of TTFields therapy in multiple solid tumor cancer indications. For additional information, see Note 13 to the Annual Consolidated Financial Statements.</w:t>
      </w:r>
    </w:p>
    <w:p>
      <w:pPr>
        <w:pStyle w:val="TextBody"/>
        <w:bidi w:val="0"/>
        <w:spacing w:lineRule="auto" w:line="288" w:before="120" w:after="283"/>
        <w:jc w:val="both"/>
        <w:rPr/>
      </w:pPr>
      <w:r>
        <w:rPr>
          <w:rFonts w:ascii="Arial;sans-serif" w:hAnsi="Arial;sans-serif"/>
          <w:b w:val="false"/>
          <w:color w:val="000000"/>
          <w:sz w:val="20"/>
        </w:rPr>
        <w:t>We view our operations and manage our business in one operating segment. For the three and six months ended June 30, 2026, our net revenues were $183.6 million</w:t>
      </w:r>
      <w:r>
        <w:rPr>
          <w:color w:val="000000"/>
        </w:rPr>
        <w:t xml:space="preserve"> </w:t>
      </w:r>
      <w:r>
        <w:rPr>
          <w:rFonts w:ascii="Arial;sans-serif" w:hAnsi="Arial;sans-serif"/>
          <w:b w:val="false"/>
          <w:color w:val="000000"/>
          <w:sz w:val="20"/>
        </w:rPr>
        <w:t>and $357.6 million, respectively. Our net loss for the three and six months ended June 30, 2026 was $15.7 million</w:t>
      </w:r>
      <w:r>
        <w:rPr>
          <w:color w:val="000000"/>
        </w:rPr>
        <w:t xml:space="preserve"> </w:t>
      </w:r>
      <w:r>
        <w:rPr>
          <w:rFonts w:ascii="Arial;sans-serif" w:hAnsi="Arial;sans-serif"/>
          <w:b w:val="false"/>
          <w:color w:val="000000"/>
          <w:sz w:val="20"/>
        </w:rPr>
        <w:t xml:space="preserve">and $86.8 million. As of June 30, 2026, we had an accumulated deficit of $1,377.2 million. </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Impact of Current Events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Conflict in Israel</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Since October 2023, the State of Israel has been in a state of war. As of the date of this filing, we believe that there is no immediate risk to our business facilities or operations. Our supply chain teams have increased stock levels to mitigate distribution and service risks from our suppliers in Israel, some of whom are single-source suppliers. Pursuant to our policy to seek and maintain second-source suppliers wherever possible, we are in the process of obtaining second-source suppliers outside of Israel when feasible; however we can provide no assurance that we will secure or maintain such suppliers on a timely basis. Where second-sources suppliers are not reasonably available, we maintain increased inventories to reduce risk. We do not believe the current escalation of hostilities with Iran will have an incremental impact.</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Recent Changes to U.S. Tariff Rates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Throughout 2025 and 2026, the U.S. has increased or threatened to increase tariff rates on imported goods from numerous countries. The manufacturing of our Products and associated accessories is fully outsourced to third parties across multiple countries. In recent years, in anticipation of active patient growth and new indication launches, we began onboarding additional suppliers and/or supply nodes to increase the resilience of our network. As an example, we are in the final steps of adding production capacity in Mexico and Ireland. This also helps us provide optionality around supply routes to optimize our cost structure, including the emerging tariff landscape. Our current analysis of the global tariff environment leads us to believe there should not be a material impact to gross margins in the short-term and we are actively working to mitigate any potential impacts in the medium to long-term. We are also actively pursuing refunds of tariffs we paid under the International Emergency Economic Powers Act ("IEEPA") following the February 2026 U.S. Supreme Court ruling that IEEPA does not authorize tariffs. We believe that we are entitled to recovery of amounts paid; however we cannot be assured that we will be able to collect the full amount or when any recoveries will occur.</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anticipate continued volatility in the global tariff environment through 2026 and we cannot be assured that we will not ultimately be negatively impacted further by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Commentary on Results of Operations</w:t>
      </w:r>
    </w:p>
    <w:p>
      <w:pPr>
        <w:pStyle w:val="TextBody"/>
        <w:bidi w:val="0"/>
        <w:spacing w:lineRule="auto" w:line="268" w:before="0" w:after="0"/>
        <w:jc w:val="both"/>
        <w:rPr/>
      </w:pPr>
      <w:r>
        <w:rPr>
          <w:rFonts w:ascii="Arial;sans-serif" w:hAnsi="Arial;sans-serif"/>
          <w:b/>
          <w:i/>
          <w:color w:val="000000"/>
          <w:sz w:val="20"/>
        </w:rPr>
        <w:t>Net revenues</w:t>
      </w:r>
      <w:r>
        <w:rPr>
          <w:rFonts w:ascii="Arial;sans-serif" w:hAnsi="Arial;sans-serif"/>
          <w:b w:val="false"/>
          <w:color w:val="000000"/>
          <w:sz w:val="20"/>
        </w:rPr>
        <w:t>. Our revenues are primarily derived from patients using our Products in our active markets. We charge for treatment with our Products on a monthly basis. Our potential net revenues per patient are determined by our ability to secure payment, the monthly fee we collect and the number of months that the patient remains on therapy. In the case of a new indication launch such as Optune Pax, it can take time for us to generate the claims history needed for a reasonable estimate of collections that will enable us to recognize revenues upon billing without waiting for a final collection of the claim. Until that time, our revenue from pancratic cancer claims will be recognized in the period of cash collection.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also recognize revenues pursuant to the Zai Agreement. For additional information regarding the Zai Agreement, see Note 13 to the Annual Consolidated Financial Statements in our 2025 10-K.</w:t>
      </w:r>
    </w:p>
    <w:p>
      <w:pPr>
        <w:pStyle w:val="TextBody"/>
        <w:bidi w:val="0"/>
        <w:spacing w:lineRule="auto" w:line="288" w:before="240" w:after="283"/>
        <w:jc w:val="both"/>
        <w:rPr/>
      </w:pPr>
      <w:r>
        <w:rPr>
          <w:rFonts w:ascii="Arial;sans-serif" w:hAnsi="Arial;sans-serif"/>
          <w:b/>
          <w:i/>
          <w:color w:val="000000"/>
          <w:sz w:val="20"/>
        </w:rPr>
        <w:t xml:space="preserve">Cost of revenues. </w:t>
      </w:r>
      <w:r>
        <w:rPr>
          <w:rFonts w:ascii="Arial;sans-serif" w:hAnsi="Arial;sans-serif"/>
          <w:b w:val="false"/>
          <w:color w:val="000000"/>
          <w:sz w:val="20"/>
        </w:rPr>
        <w:t>We contract with third parties to manufacture our Products. Our cost of revenues is primarily comprised of the following:</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disposable arrays;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depreciation expense for the field equipment, including the electric field generator used by patients;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patient support and other personnel costs;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overhead costs, such as facilities, freight and depreciation of property, plant and equipment associated with managing our inventory, warehousing and order fulfillment functions.</w:t>
      </w:r>
    </w:p>
    <w:p>
      <w:pPr>
        <w:pStyle w:val="TextBody"/>
        <w:bidi w:val="0"/>
        <w:spacing w:lineRule="auto" w:line="288" w:before="240" w:after="283"/>
        <w:jc w:val="both"/>
        <w:rPr/>
      </w:pPr>
      <w:r>
        <w:rPr>
          <w:rFonts w:ascii="Arial;sans-serif" w:hAnsi="Arial;sans-serif"/>
          <w:b/>
          <w:i/>
          <w:color w:val="000000"/>
          <w:sz w:val="20"/>
        </w:rPr>
        <w:t xml:space="preserve">Operating expenses. </w:t>
      </w:r>
      <w:r>
        <w:rPr>
          <w:rFonts w:ascii="Arial;sans-serif" w:hAnsi="Arial;sans-serif"/>
          <w:b w:val="false"/>
          <w:color w:val="000000"/>
          <w:sz w:val="20"/>
        </w:rPr>
        <w:t>Our operating expenses consist of research, development and clinical studies, sales and marketing and general and administrative expenses. Personnel costs are a significant component for each category of operating expenses and consist of wages, benefits and bonuses. Personnel costs also include share-based compensation.</w:t>
      </w:r>
    </w:p>
    <w:p>
      <w:pPr>
        <w:pStyle w:val="TextBody"/>
        <w:bidi w:val="0"/>
        <w:spacing w:lineRule="auto" w:line="288" w:before="240" w:after="283"/>
        <w:jc w:val="both"/>
        <w:rPr/>
      </w:pPr>
      <w:r>
        <w:rPr>
          <w:rFonts w:ascii="Arial;sans-serif" w:hAnsi="Arial;sans-serif"/>
          <w:b/>
          <w:i/>
          <w:color w:val="000000"/>
          <w:sz w:val="20"/>
        </w:rPr>
        <w:t>Financial income (expenses), net</w:t>
      </w:r>
      <w:r>
        <w:rPr>
          <w:rFonts w:ascii="Arial;sans-serif" w:hAnsi="Arial;sans-serif"/>
          <w:b/>
          <w:color w:val="000000"/>
          <w:sz w:val="20"/>
        </w:rPr>
        <w:t>.</w:t>
      </w:r>
      <w:r>
        <w:rPr>
          <w:color w:val="000000"/>
        </w:rPr>
        <w:t xml:space="preserve"> </w:t>
      </w:r>
      <w:r>
        <w:rPr>
          <w:rFonts w:ascii="Arial;sans-serif" w:hAnsi="Arial;sans-serif"/>
          <w:b w:val="false"/>
          <w:color w:val="000000"/>
          <w:sz w:val="20"/>
        </w:rPr>
        <w:t>Financial income (expenses), net primarily consists of interest income from cash balances and short-term investments, credit facility interest expense and related debt issuance costs, and gains (losses) from foreign currency transactions. Our reporting currency is the U.S. dollar. We have historically held substantially all of our cash balances in U.S. dollar denominated accounts to minimize the risk of translational currency exposure.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discussion provides an analysis of our results of operations and reasons for material changes therein for the three and six months ended June 30, 2026 as compared to the three and six months ended June 30, 2025. The tables contained in this section report U.S. dollars in thousands (except share, patient, and prescription data). The following table sets forth our consolidated statements of operations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1"/>
        <w:gridCol w:w="1119"/>
        <w:gridCol w:w="1127"/>
        <w:gridCol w:w="243"/>
        <w:gridCol w:w="988"/>
        <w:gridCol w:w="109"/>
        <w:gridCol w:w="109"/>
        <w:gridCol w:w="109"/>
        <w:gridCol w:w="109"/>
        <w:gridCol w:w="243"/>
        <w:gridCol w:w="988"/>
        <w:gridCol w:w="109"/>
        <w:gridCol w:w="109"/>
        <w:gridCol w:w="109"/>
        <w:gridCol w:w="109"/>
        <w:gridCol w:w="243"/>
        <w:gridCol w:w="988"/>
        <w:gridCol w:w="109"/>
        <w:gridCol w:w="109"/>
        <w:gridCol w:w="109"/>
        <w:gridCol w:w="109"/>
        <w:gridCol w:w="243"/>
        <w:gridCol w:w="988"/>
        <w:gridCol w:w="156"/>
      </w:tblGrid>
      <w:tr>
        <w:trPr/>
        <w:tc>
          <w:tcPr>
            <w:tcW w:w="157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income (expenses),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 net income (loss) per ordinary share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ordinary shares used in computing basic and diluted net income (loss) per share</w:t>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116,012,397 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111,572,191 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115,106,850 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110,930,576 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As a result of FDA approval of Optune Pax during the first quarter, we incurred a non-cash general and administrative expense of approximately $43,406 related to 901,284 PSUs granted in March 2020 to an executive officer that were expensed for U.S. GAAP purposes, but not actually converted to Ordinary Shares and distributed to the executive officer. These PSUs are now cancelled. </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following table details the share-based compensation expense included in costs and expenses:</w:t>
      </w:r>
    </w:p>
    <w:tbl>
      <w:tblPr>
        <w:tblW w:w="9209" w:type="dxa"/>
        <w:jc w:val="left"/>
        <w:tblInd w:w="0" w:type="dxa"/>
        <w:tblLayout w:type="fixed"/>
        <w:tblCellMar>
          <w:top w:w="28" w:type="dxa"/>
          <w:left w:w="28" w:type="dxa"/>
          <w:bottom w:w="28" w:type="dxa"/>
          <w:right w:w="28" w:type="dxa"/>
        </w:tblCellMar>
      </w:tblPr>
      <w:tblGrid>
        <w:gridCol w:w="1414"/>
        <w:gridCol w:w="1239"/>
        <w:gridCol w:w="124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76" w:before="120" w:after="283"/>
        <w:jc w:val="both"/>
        <w:rPr>
          <w:rFonts w:ascii="Arial;sans-serif" w:hAnsi="Arial;sans-serif"/>
          <w:b/>
          <w:i/>
          <w:color w:val="000000"/>
          <w:sz w:val="20"/>
        </w:rPr>
      </w:pPr>
      <w:r>
        <w:rPr>
          <w:rFonts w:ascii="Arial;sans-serif" w:hAnsi="Arial;sans-serif"/>
          <w:b/>
          <w:i/>
          <w:color w:val="000000"/>
          <w:sz w:val="20"/>
        </w:rPr>
        <w:t>Key performance indicators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believe certain commercial operating statistics are useful to investors in evaluating our commercial business as they help our management team and investors evaluate and compare the adoption of our Products from period to period. The number of active patients on therapy is our principal revenue driver. An "active patient" is a patient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is receiving treatment under a commercial prescription order as of the measurement date, including patients who may be on a temporary break from treatment and who plan to resume treatment in less than 60 days.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includes certain commercial operating statistics for and as of the end of the periods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6"/>
        <w:gridCol w:w="336"/>
        <w:gridCol w:w="337"/>
        <w:gridCol w:w="344"/>
        <w:gridCol w:w="307"/>
        <w:gridCol w:w="251"/>
        <w:gridCol w:w="109"/>
        <w:gridCol w:w="109"/>
        <w:gridCol w:w="109"/>
        <w:gridCol w:w="260"/>
        <w:gridCol w:w="250"/>
        <w:gridCol w:w="251"/>
        <w:gridCol w:w="109"/>
        <w:gridCol w:w="109"/>
        <w:gridCol w:w="109"/>
        <w:gridCol w:w="259"/>
        <w:gridCol w:w="249"/>
        <w:gridCol w:w="251"/>
        <w:gridCol w:w="109"/>
        <w:gridCol w:w="109"/>
        <w:gridCol w:w="109"/>
        <w:gridCol w:w="323"/>
        <w:gridCol w:w="323"/>
        <w:gridCol w:w="171"/>
        <w:gridCol w:w="109"/>
        <w:gridCol w:w="109"/>
        <w:gridCol w:w="109"/>
        <w:gridCol w:w="344"/>
        <w:gridCol w:w="307"/>
        <w:gridCol w:w="251"/>
        <w:gridCol w:w="109"/>
        <w:gridCol w:w="109"/>
        <w:gridCol w:w="109"/>
        <w:gridCol w:w="260"/>
        <w:gridCol w:w="250"/>
        <w:gridCol w:w="251"/>
        <w:gridCol w:w="109"/>
        <w:gridCol w:w="109"/>
        <w:gridCol w:w="109"/>
        <w:gridCol w:w="249"/>
        <w:gridCol w:w="249"/>
        <w:gridCol w:w="251"/>
        <w:gridCol w:w="109"/>
        <w:gridCol w:w="109"/>
        <w:gridCol w:w="109"/>
        <w:gridCol w:w="323"/>
        <w:gridCol w:w="323"/>
        <w:gridCol w:w="240"/>
      </w:tblGrid>
      <w:tr>
        <w:trPr/>
        <w:tc>
          <w:tcPr>
            <w:tcW w:w="7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Gio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Lua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Pax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Gio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Lua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Optune Pax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patients at period end</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international</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 - Total</w:t>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4,194 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Prescriptions are an indicator of new indication adoption during the first year of product launch. As such, we are no longer reporting new prescriptions received in indications which have been commercially available for more than one year (GBM, NSCLC, MPM). Prescriptions received for the treatment of pancreatic cancer will be provided for a one-year period following launch. </w:t>
      </w:r>
    </w:p>
    <w:p>
      <w:pPr>
        <w:pStyle w:val="TextBody"/>
        <w:bidi w:val="0"/>
        <w:spacing w:before="120" w:after="283"/>
        <w:jc w:val="both"/>
        <w:rPr/>
      </w:pPr>
      <w:r>
        <w:rPr/>
      </w:r>
    </w:p>
    <w:tbl>
      <w:tblPr>
        <w:tblW w:w="8331" w:type="dxa"/>
        <w:jc w:val="left"/>
        <w:tblInd w:w="0" w:type="dxa"/>
        <w:tblLayout w:type="fixed"/>
        <w:tblCellMar>
          <w:top w:w="28" w:type="dxa"/>
          <w:left w:w="28" w:type="dxa"/>
          <w:bottom w:w="28" w:type="dxa"/>
          <w:right w:w="28" w:type="dxa"/>
        </w:tblCellMar>
      </w:tblPr>
      <w:tblGrid>
        <w:gridCol w:w="1136"/>
        <w:gridCol w:w="997"/>
        <w:gridCol w:w="1002"/>
        <w:gridCol w:w="584"/>
        <w:gridCol w:w="584"/>
        <w:gridCol w:w="586"/>
        <w:gridCol w:w="109"/>
        <w:gridCol w:w="109"/>
        <w:gridCol w:w="109"/>
        <w:gridCol w:w="514"/>
        <w:gridCol w:w="514"/>
        <w:gridCol w:w="516"/>
        <w:gridCol w:w="109"/>
        <w:gridCol w:w="109"/>
        <w:gridCol w:w="109"/>
        <w:gridCol w:w="109"/>
        <w:gridCol w:w="109"/>
        <w:gridCol w:w="109"/>
        <w:gridCol w:w="109"/>
        <w:gridCol w:w="109"/>
        <w:gridCol w:w="109"/>
        <w:gridCol w:w="109"/>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Prescriptions received in period (1)</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w:t>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international</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markets - Total</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(1)    A "prescription received" is a commercial order for Optune Pax that is received from a physician certified to treat patients with our Products for a patient not previously on Optune Pax. Orders to renew or extend treatment are not included in this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76" w:before="240" w:after="283"/>
        <w:ind w:left="0" w:right="0" w:hanging="360"/>
        <w:jc w:val="both"/>
        <w:rPr>
          <w:rFonts w:ascii="Arial;sans-serif" w:hAnsi="Arial;sans-serif"/>
          <w:b/>
          <w:i/>
          <w:color w:val="000000"/>
          <w:sz w:val="20"/>
        </w:rPr>
      </w:pPr>
      <w:r>
        <w:rPr>
          <w:rFonts w:ascii="Arial;sans-serif" w:hAnsi="Arial;sans-serif"/>
          <w:b/>
          <w:i/>
          <w:color w:val="000000"/>
          <w:sz w:val="20"/>
        </w:rPr>
        <w:t>Three and six months ended June 30, 2026 compared to three and six months ended June 30, 2025</w:t>
      </w:r>
    </w:p>
    <w:tbl>
      <w:tblPr>
        <w:tblW w:w="9491" w:type="dxa"/>
        <w:jc w:val="left"/>
        <w:tblInd w:w="0" w:type="dxa"/>
        <w:tblLayout w:type="fixed"/>
        <w:tblCellMar>
          <w:top w:w="28" w:type="dxa"/>
          <w:left w:w="28" w:type="dxa"/>
          <w:bottom w:w="28" w:type="dxa"/>
          <w:right w:w="28" w:type="dxa"/>
        </w:tblCellMar>
      </w:tblPr>
      <w:tblGrid>
        <w:gridCol w:w="462"/>
        <w:gridCol w:w="405"/>
        <w:gridCol w:w="408"/>
        <w:gridCol w:w="211"/>
        <w:gridCol w:w="856"/>
        <w:gridCol w:w="109"/>
        <w:gridCol w:w="109"/>
        <w:gridCol w:w="109"/>
        <w:gridCol w:w="109"/>
        <w:gridCol w:w="211"/>
        <w:gridCol w:w="856"/>
        <w:gridCol w:w="109"/>
        <w:gridCol w:w="109"/>
        <w:gridCol w:w="109"/>
        <w:gridCol w:w="109"/>
        <w:gridCol w:w="198"/>
        <w:gridCol w:w="198"/>
        <w:gridCol w:w="520"/>
        <w:gridCol w:w="109"/>
        <w:gridCol w:w="109"/>
        <w:gridCol w:w="109"/>
        <w:gridCol w:w="211"/>
        <w:gridCol w:w="856"/>
        <w:gridCol w:w="109"/>
        <w:gridCol w:w="109"/>
        <w:gridCol w:w="109"/>
        <w:gridCol w:w="109"/>
        <w:gridCol w:w="211"/>
        <w:gridCol w:w="856"/>
        <w:gridCol w:w="109"/>
        <w:gridCol w:w="109"/>
        <w:gridCol w:w="109"/>
        <w:gridCol w:w="109"/>
        <w:gridCol w:w="190"/>
        <w:gridCol w:w="190"/>
        <w:gridCol w:w="581"/>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 xml:space="preserve">Net revenues. </w:t>
      </w:r>
      <w:r>
        <w:rPr>
          <w:rFonts w:ascii="Arial;sans-serif" w:hAnsi="Arial;sans-serif"/>
          <w:b w:val="false"/>
          <w:color w:val="000000"/>
          <w:sz w:val="20"/>
        </w:rPr>
        <w:t xml:space="preserve">Net revenues increased 16% to $183.6 million for the three months ending June 30, 2026 from $158.8 million for the same period in 2025. For the three months ended June 30, 2026 the net revenue increase primarily resulted from $16.1 million in growth from international markets and $8.7 million from the United States, collectively driven primarily by 18% active patient growth globally. In the quarter, there were $2.8 million in one-time revenue benefits included in the aforementioned market increases, consisting of $1.3 million from Germany related to approval rate increases and aged collections, $0.9 million from the United States from a lower annual deductible impact, and $0.6 million in France related to performance improvements. Recognized revenue from Optune Lua and Optune Pax in the quarter was $5.4 million and $1.6 million respectively, versus $2.4 million and $0.0 million in the same period last year.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2026, the increase primarily resulted from $32.3 million in growth from international markets due to 17% active patient growth and reimbursement improvements and $11.5 million from the United States due to 20% active patient growth. The overall increase includes $6.1 million of exchange rate benefits.</w:t>
      </w:r>
    </w:p>
    <w:tbl>
      <w:tblPr>
        <w:tblW w:w="9427" w:type="dxa"/>
        <w:jc w:val="left"/>
        <w:tblInd w:w="0" w:type="dxa"/>
        <w:tblLayout w:type="fixed"/>
        <w:tblCellMar>
          <w:top w:w="28" w:type="dxa"/>
          <w:left w:w="28" w:type="dxa"/>
          <w:bottom w:w="28" w:type="dxa"/>
          <w:right w:w="28" w:type="dxa"/>
        </w:tblCellMar>
      </w:tblPr>
      <w:tblGrid>
        <w:gridCol w:w="582"/>
        <w:gridCol w:w="510"/>
        <w:gridCol w:w="513"/>
        <w:gridCol w:w="211"/>
        <w:gridCol w:w="751"/>
        <w:gridCol w:w="109"/>
        <w:gridCol w:w="109"/>
        <w:gridCol w:w="109"/>
        <w:gridCol w:w="109"/>
        <w:gridCol w:w="211"/>
        <w:gridCol w:w="751"/>
        <w:gridCol w:w="109"/>
        <w:gridCol w:w="109"/>
        <w:gridCol w:w="109"/>
        <w:gridCol w:w="109"/>
        <w:gridCol w:w="198"/>
        <w:gridCol w:w="198"/>
        <w:gridCol w:w="520"/>
        <w:gridCol w:w="109"/>
        <w:gridCol w:w="109"/>
        <w:gridCol w:w="109"/>
        <w:gridCol w:w="211"/>
        <w:gridCol w:w="751"/>
        <w:gridCol w:w="109"/>
        <w:gridCol w:w="109"/>
        <w:gridCol w:w="109"/>
        <w:gridCol w:w="109"/>
        <w:gridCol w:w="211"/>
        <w:gridCol w:w="751"/>
        <w:gridCol w:w="109"/>
        <w:gridCol w:w="109"/>
        <w:gridCol w:w="109"/>
        <w:gridCol w:w="109"/>
        <w:gridCol w:w="203"/>
        <w:gridCol w:w="203"/>
        <w:gridCol w:w="581"/>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 xml:space="preserve">Cost of revenues. </w:t>
      </w:r>
      <w:r>
        <w:rPr>
          <w:rFonts w:ascii="Arial;sans-serif" w:hAnsi="Arial;sans-serif"/>
          <w:b w:val="false"/>
          <w:color w:val="000000"/>
          <w:sz w:val="20"/>
        </w:rPr>
        <w:t xml:space="preserve">For the three months ended June 30, 2026, the decrease in cost of revenues was primarily due to a $4.9 million tariff refund and $2.8 million of lower array costs, mainly resulting from improved array utilization and manufacturing efficiencies, mostly offset by 18% growth in active patients.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2026, the cost of revenues were flat versus prior year primarily due to the aforementioned tariff refund and $6.9 million lower costs of arrays mainly resulting from improved array utilization and manufacturing efficiencies, fully offset by the active patient growth.</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Excluding sales to Zai, cost of revenues per active patient per month was $2,483 for the three months ended June 30, 2026, a decrease of 16% from $2,970 for the same period in 2025, primarily due to the tariff refund, lower array utilization and manufacturing efficiencies. Cost of revenues per active patient is calculated by dividing the cost of revenues for the quarter less equipment sales to Zai for the quarter by the average of the active patients at the end of the prior quarter and the ending active patients in the current quarter. This quarterly figure is then divided by three to estimate the monthly cost of revenues per active patient. Sales to Zai are deducted because they are sold at cost and in anticipation of future royalties from Zai, and Zai patient counts are not included in our active patient population. Cost of products sold to Zai totaled $4.2 million and $7.4 million for the three and six months ended June 30, 2026 compared to $3.2 million and $6.5 million for the three and six months ended June 30, 2025.</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Gross margin was 78% for the three months ended June 30, 2026 compared to 74% for the three months ended June 30, 2025. The improvement in gross margin is primarily due to 18% active patient growth while decreasing the cost of revenues by 1%. We expect that our gross margins will continue to be impacted by our launches in NSCLC and pancreatic cancer, as well as by the changing tariff landscape. We continue to focus on opportunities to increase efficiencies and scale within our supply chain. This includes evaluating new materials, manufacturers, and processes that could lead to lower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869"/>
        <w:gridCol w:w="545"/>
        <w:gridCol w:w="548"/>
        <w:gridCol w:w="211"/>
        <w:gridCol w:w="856"/>
        <w:gridCol w:w="109"/>
        <w:gridCol w:w="109"/>
        <w:gridCol w:w="109"/>
        <w:gridCol w:w="109"/>
        <w:gridCol w:w="211"/>
        <w:gridCol w:w="856"/>
        <w:gridCol w:w="109"/>
        <w:gridCol w:w="109"/>
        <w:gridCol w:w="109"/>
        <w:gridCol w:w="109"/>
        <w:gridCol w:w="198"/>
        <w:gridCol w:w="198"/>
        <w:gridCol w:w="520"/>
        <w:gridCol w:w="109"/>
        <w:gridCol w:w="109"/>
        <w:gridCol w:w="109"/>
        <w:gridCol w:w="211"/>
        <w:gridCol w:w="856"/>
        <w:gridCol w:w="109"/>
        <w:gridCol w:w="109"/>
        <w:gridCol w:w="109"/>
        <w:gridCol w:w="109"/>
        <w:gridCol w:w="211"/>
        <w:gridCol w:w="856"/>
        <w:gridCol w:w="109"/>
        <w:gridCol w:w="109"/>
        <w:gridCol w:w="109"/>
        <w:gridCol w:w="109"/>
        <w:gridCol w:w="203"/>
        <w:gridCol w:w="203"/>
        <w:gridCol w:w="582"/>
      </w:tblGrid>
      <w:tr>
        <w:trPr/>
        <w:tc>
          <w:tcPr>
            <w:tcW w:w="86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development and clinical studies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bookmarkStart w:id="0" w:name="i16c9ffac81c646c6ae46cd54a6c3c5d6_9912"/>
      <w:bookmarkEnd w:id="0"/>
      <w:r>
        <w:rPr>
          <w:rFonts w:ascii="Arial;sans-serif" w:hAnsi="Arial;sans-serif"/>
          <w:b w:val="false"/>
          <w:i/>
          <w:color w:val="000000"/>
          <w:sz w:val="20"/>
        </w:rPr>
        <w:t xml:space="preserve">Research, development and clinical study expenses. </w:t>
      </w:r>
      <w:r>
        <w:rPr>
          <w:rFonts w:ascii="Arial;sans-serif" w:hAnsi="Arial;sans-serif"/>
          <w:b w:val="false"/>
          <w:color w:val="000000"/>
          <w:sz w:val="20"/>
        </w:rPr>
        <w:t xml:space="preserve">Research, development and clinical study expenses decreased 8% to $51.4 million for the three months ended June 30, 2026 from $55.8 million for the same period in 2025. For the three months ended June 30, 2026, the change was primarily due to a $5.5 million decrease in direct clinical trial expenses from the completion of older clinical studies more than offsetting cost increases in newer studies, such as KEYNOTE D58, and a $1.8 million decrease in share-based compensation, partially offset by a $0.9 million increase in engineering expenses and a $0.7 million increase in preclinical expenses.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2026, research, development and clinical expenses were flat versus prior year primarily due to a $4.2 million decrease in direct clinical trial expenses and a $3.9 million decrease in share-based compensation expenses, offset primarily by a $2.9 million increase in engineering expenses, a $1.2 million increase in preclinical expenses and a $1.2 million increase in regulatory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research and development expenses can fluctuate quarter-to-quarter dependent upon the amount of clinical research organization services delivered, clinical materials procured and the number of trials actively underway within a given quarter.</w:t>
      </w:r>
    </w:p>
    <w:p>
      <w:pPr>
        <w:pStyle w:val="TextBody"/>
        <w:bidi w:val="0"/>
        <w:spacing w:lineRule="auto" w:line="288" w:before="240" w:after="283"/>
        <w:jc w:val="both"/>
        <w:rPr/>
      </w:pPr>
      <w:r>
        <w:rPr>
          <w:rFonts w:ascii="Arial;sans-serif" w:hAnsi="Arial;sans-serif"/>
          <w:b w:val="false"/>
          <w:i/>
          <w:color w:val="000000"/>
          <w:sz w:val="20"/>
        </w:rPr>
        <w:t xml:space="preserve">Sales and marketing expenses. </w:t>
      </w:r>
      <w:r>
        <w:rPr>
          <w:rFonts w:ascii="Arial;sans-serif" w:hAnsi="Arial;sans-serif"/>
          <w:b w:val="false"/>
          <w:color w:val="000000"/>
          <w:sz w:val="20"/>
        </w:rPr>
        <w:t>Sales and marketing expenses increased 8% to $61.7 million for the three months ended June 30, 2026 from $57.1 million for the same period in 2025. For the three and six months ended June 30, 2026, the change was mainly driven by a $5.5 million and a $9.5 million increase, in sales and marketing efforts related to the Optune Pax launch in the United States and Optune Lua launch in Japan, respectively, partially offset by $1.4 million and $5.6 million, respectively, lower share-based compensation expenses.</w:t>
      </w:r>
    </w:p>
    <w:p>
      <w:pPr>
        <w:pStyle w:val="TextBody"/>
        <w:bidi w:val="0"/>
        <w:spacing w:lineRule="auto" w:line="288" w:before="240" w:after="283"/>
        <w:jc w:val="both"/>
        <w:rPr/>
      </w:pPr>
      <w:r>
        <w:rPr>
          <w:rFonts w:ascii="Arial;sans-serif" w:hAnsi="Arial;sans-serif"/>
          <w:b w:val="false"/>
          <w:i/>
          <w:color w:val="000000"/>
          <w:sz w:val="20"/>
        </w:rPr>
        <w:t xml:space="preserve">General and administrative expenses. </w:t>
      </w:r>
      <w:r>
        <w:rPr>
          <w:rFonts w:ascii="Arial;sans-serif" w:hAnsi="Arial;sans-serif"/>
          <w:b w:val="false"/>
          <w:color w:val="000000"/>
          <w:sz w:val="20"/>
        </w:rPr>
        <w:t xml:space="preserve">General and administrative expenses decreased 9% to $39.9 million for the three-month period ended June 30, 2026 from $44.0 million for the same period in 2025. For the three months ended June 30, 2026, these changes were primarily due to $5.6 million lower share-based compensation expenses partially offset by $1.6 million of higher personnel and professional expenses to support business growth.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2026, the changes were primarily due to $34.8 million higher share-based compensation expenses, resulting primarily from approximately $43.4 million related to PSUs granted in March 2020 to an executive officer that were expensed according to U.S. GAAP as a result of the FDA approval of Optune Pax, but not distributed. Additionally, excluding share based compensation expenses, there was a $2.3 million increase in general and administrative expenses resulting from a $4.6 million increase in personnel and professional service expenses to support multiple launches, partly offset by a one-time expense of $2.3 million recognized in the same period last year for the retirement of a production line.</w:t>
      </w:r>
    </w:p>
    <w:tbl>
      <w:tblPr>
        <w:tblW w:w="10205" w:type="dxa"/>
        <w:jc w:val="left"/>
        <w:tblInd w:w="0" w:type="dxa"/>
        <w:tblLayout w:type="fixed"/>
        <w:tblCellMar>
          <w:top w:w="28" w:type="dxa"/>
          <w:left w:w="28" w:type="dxa"/>
          <w:bottom w:w="28" w:type="dxa"/>
          <w:right w:w="28" w:type="dxa"/>
        </w:tblCellMar>
      </w:tblPr>
      <w:tblGrid>
        <w:gridCol w:w="859"/>
        <w:gridCol w:w="756"/>
        <w:gridCol w:w="760"/>
        <w:gridCol w:w="211"/>
        <w:gridCol w:w="686"/>
        <w:gridCol w:w="109"/>
        <w:gridCol w:w="109"/>
        <w:gridCol w:w="109"/>
        <w:gridCol w:w="109"/>
        <w:gridCol w:w="211"/>
        <w:gridCol w:w="646"/>
        <w:gridCol w:w="109"/>
        <w:gridCol w:w="109"/>
        <w:gridCol w:w="109"/>
        <w:gridCol w:w="109"/>
        <w:gridCol w:w="259"/>
        <w:gridCol w:w="261"/>
        <w:gridCol w:w="520"/>
        <w:gridCol w:w="109"/>
        <w:gridCol w:w="109"/>
        <w:gridCol w:w="109"/>
        <w:gridCol w:w="211"/>
        <w:gridCol w:w="686"/>
        <w:gridCol w:w="109"/>
        <w:gridCol w:w="109"/>
        <w:gridCol w:w="109"/>
        <w:gridCol w:w="109"/>
        <w:gridCol w:w="211"/>
        <w:gridCol w:w="751"/>
        <w:gridCol w:w="109"/>
        <w:gridCol w:w="109"/>
        <w:gridCol w:w="109"/>
        <w:gridCol w:w="109"/>
        <w:gridCol w:w="259"/>
        <w:gridCol w:w="261"/>
        <w:gridCol w:w="586"/>
      </w:tblGrid>
      <w:tr>
        <w:trPr/>
        <w:tc>
          <w:tcPr>
            <w:tcW w:w="8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3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income (expenses), net</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5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5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 xml:space="preserve">Financial income (expenses), net. </w:t>
      </w:r>
      <w:r>
        <w:rPr>
          <w:rFonts w:ascii="Arial;sans-serif" w:hAnsi="Arial;sans-serif"/>
          <w:b w:val="false"/>
          <w:color w:val="000000"/>
          <w:sz w:val="20"/>
        </w:rPr>
        <w:t xml:space="preserve">Financial income decreased by $6.4 million or 142% from $4.5 million in income for the three months ended June 30, 2025 to an expense of $1.9 million for the same period in 2026, primarily due to a $6.4 million decrease in interest income on our investments driven by the repayment upon maturity in November 2025 of our 0% coupon convertible notes, $2.4 million of higher interest expenses related to our senior secured credit facility driven by our borrowing of Tranche B in September 2025, offset by a $1.7 million decrease in foreign currency exchange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the six months ended June 30, 2026, financial income decreased by $15.8 million or 131% from $12.1 million in income for the six months ended June 30, 2025 to an expense of $3.7 million for the same period in 2026, primarily. due to a $13.5 million decrease in interest income on our investments and, $4.7 million of higher interest expenses related to our senior secured credit facility, offset by a $1.2 million decrease in foreign exchange currency loss and a $1.1 million decrease in amortization expenses related to debt.</w:t>
      </w:r>
    </w:p>
    <w:tbl>
      <w:tblPr>
        <w:tblW w:w="8777" w:type="dxa"/>
        <w:jc w:val="left"/>
        <w:tblInd w:w="0" w:type="dxa"/>
        <w:tblLayout w:type="fixed"/>
        <w:tblCellMar>
          <w:top w:w="28" w:type="dxa"/>
          <w:left w:w="28" w:type="dxa"/>
          <w:bottom w:w="28" w:type="dxa"/>
          <w:right w:w="28" w:type="dxa"/>
        </w:tblCellMar>
      </w:tblPr>
      <w:tblGrid>
        <w:gridCol w:w="472"/>
        <w:gridCol w:w="416"/>
        <w:gridCol w:w="417"/>
        <w:gridCol w:w="211"/>
        <w:gridCol w:w="646"/>
        <w:gridCol w:w="109"/>
        <w:gridCol w:w="109"/>
        <w:gridCol w:w="109"/>
        <w:gridCol w:w="109"/>
        <w:gridCol w:w="211"/>
        <w:gridCol w:w="646"/>
        <w:gridCol w:w="109"/>
        <w:gridCol w:w="109"/>
        <w:gridCol w:w="109"/>
        <w:gridCol w:w="109"/>
        <w:gridCol w:w="218"/>
        <w:gridCol w:w="218"/>
        <w:gridCol w:w="520"/>
        <w:gridCol w:w="109"/>
        <w:gridCol w:w="109"/>
        <w:gridCol w:w="109"/>
        <w:gridCol w:w="211"/>
        <w:gridCol w:w="646"/>
        <w:gridCol w:w="109"/>
        <w:gridCol w:w="109"/>
        <w:gridCol w:w="109"/>
        <w:gridCol w:w="109"/>
        <w:gridCol w:w="211"/>
        <w:gridCol w:w="646"/>
        <w:gridCol w:w="109"/>
        <w:gridCol w:w="109"/>
        <w:gridCol w:w="109"/>
        <w:gridCol w:w="109"/>
        <w:gridCol w:w="218"/>
        <w:gridCol w:w="218"/>
        <w:gridCol w:w="581"/>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i/>
          <w:color w:val="000000"/>
          <w:sz w:val="20"/>
        </w:rPr>
        <w:t>Income taxes</w:t>
      </w:r>
      <w:r>
        <w:rPr>
          <w:rFonts w:ascii="Arial;sans-serif" w:hAnsi="Arial;sans-serif"/>
          <w:b w:val="false"/>
          <w:color w:val="000000"/>
          <w:sz w:val="20"/>
        </w:rPr>
        <w:t>. Income taxes decreased 38% to $3.2 million for the three months ended June 30, 2026 from $5.2 million for the same period in 2025 and decreased 45% to $5.1 million for the six months ended June 30, 2026 from $9.2 million for the same period in 2025. For the three months ended June 30, 2026, the decrease was primarily attributable a $0.9 million reduction in tax expense associated with intercompany interest income and a $0.8 million increase in current tax benefits related to share-based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six months ended June 30, 2026, the decrease was primarily attributable to a $2.0 million reduction in tax expense associated with intercompany interest income and a $1.7 million decrease related to prior-period reserves, partially offset by a $0.6 million decrease in current tax benefits related to share-based compensation.</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Non-GAAP financial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measure our performance using a non-GAAP measurement of earnings before interest, taxes, depreciation, amortization and shared-based compensation (“Adjusted EBITDA”). We believe Adjusted EBITDA is useful to investors in evaluating our operating performance because it helps investors evaluate and compare the results of our operations from period to period by removing the impact of earnings attributable to our capital structure, tax rate and material non-cash items, specifically share-based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calculate Adjusted EBITDA as operating income before financial expenses and income taxes, net of depreciation, amortization and share-based compensation. The following table reconciles net income (loss), which is the most directly comparable GAAP operating performance measure, to Adjusted EBITDA.</w:t>
      </w:r>
    </w:p>
    <w:tbl>
      <w:tblPr>
        <w:tblW w:w="10205" w:type="dxa"/>
        <w:jc w:val="left"/>
        <w:tblInd w:w="0" w:type="dxa"/>
        <w:tblLayout w:type="fixed"/>
        <w:tblCellMar>
          <w:top w:w="28" w:type="dxa"/>
          <w:left w:w="28" w:type="dxa"/>
          <w:bottom w:w="28" w:type="dxa"/>
          <w:right w:w="28" w:type="dxa"/>
        </w:tblCellMar>
      </w:tblPr>
      <w:tblGrid>
        <w:gridCol w:w="998"/>
        <w:gridCol w:w="547"/>
        <w:gridCol w:w="549"/>
        <w:gridCol w:w="211"/>
        <w:gridCol w:w="772"/>
        <w:gridCol w:w="109"/>
        <w:gridCol w:w="109"/>
        <w:gridCol w:w="109"/>
        <w:gridCol w:w="109"/>
        <w:gridCol w:w="211"/>
        <w:gridCol w:w="772"/>
        <w:gridCol w:w="109"/>
        <w:gridCol w:w="109"/>
        <w:gridCol w:w="109"/>
        <w:gridCol w:w="109"/>
        <w:gridCol w:w="250"/>
        <w:gridCol w:w="251"/>
        <w:gridCol w:w="520"/>
        <w:gridCol w:w="109"/>
        <w:gridCol w:w="109"/>
        <w:gridCol w:w="109"/>
        <w:gridCol w:w="211"/>
        <w:gridCol w:w="772"/>
        <w:gridCol w:w="109"/>
        <w:gridCol w:w="109"/>
        <w:gridCol w:w="109"/>
        <w:gridCol w:w="109"/>
        <w:gridCol w:w="211"/>
        <w:gridCol w:w="772"/>
        <w:gridCol w:w="109"/>
        <w:gridCol w:w="109"/>
        <w:gridCol w:w="109"/>
        <w:gridCol w:w="109"/>
        <w:gridCol w:w="250"/>
        <w:gridCol w:w="251"/>
        <w:gridCol w:w="586"/>
      </w:tblGrid>
      <w:tr>
        <w:trPr/>
        <w:tc>
          <w:tcPr>
            <w:tcW w:w="99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Income tax</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Financial expenses (income),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Share-based compensation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EBITDA increased to a gain of $10.8 million for the three months ended June 30, 2026 from a loss of $9.9 million for the same period in 2025. For three months ended June 30, 2026, the change in adjusted EBITDA was primarily driven by revenue growth, cost of revenue efficiency improvements and tariff refunds, partially offset by increasing costs for new indications. The revenue increase drove a $25.1 million increase in gross profit. The gross profit increase was partially offset by increased operating expenses, primarily due to our launches in pancreatic cancer and NSCLC. We intend to take actions that prioritize growth and maintain financial health and flexibility as we position our company for future profitability.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incurred significant losses and cumulative negative cash flows from operations since our founding in 2000. As of June 30, 2026, we had an accumulated deficit of $1,377.2 million. To date, we have primarily financed our operations through the exercise of options, issuance and sale of equity and the proceeds from long-term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At June 30, 2026, we had $440.6 million in cash, cash equivalents and short-term investments, a decrease of $7.1 million compared to $447.7 million at December 31, 2025, primarily attributable to net cash used in operations. We believe our cash, cash equivalents and short-term investments as of June 30, 2026 are sufficient for our operations for at least the next 12 months based on our existing business plan and our ability to control the timing of significant expense commitments. We expect that our operating expenses will continue to increase over the next several years and may outpace our gross profit as we prepare to expand into additional indications. As a result, we may need to raise additional capital to fund our operations.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summary of our cash flows for the periods indicated has been derived from our unaudited consolidated financial statements, which are included elsewhere in this Quarterly Report:</w:t>
      </w:r>
    </w:p>
    <w:tbl>
      <w:tblPr>
        <w:tblW w:w="10205" w:type="dxa"/>
        <w:jc w:val="left"/>
        <w:tblInd w:w="0" w:type="dxa"/>
        <w:tblLayout w:type="fixed"/>
        <w:tblCellMar>
          <w:top w:w="28" w:type="dxa"/>
          <w:left w:w="28" w:type="dxa"/>
          <w:bottom w:w="28" w:type="dxa"/>
          <w:right w:w="28" w:type="dxa"/>
        </w:tblCellMar>
      </w:tblPr>
      <w:tblGrid>
        <w:gridCol w:w="1813"/>
        <w:gridCol w:w="1550"/>
        <w:gridCol w:w="1555"/>
        <w:gridCol w:w="211"/>
        <w:gridCol w:w="690"/>
        <w:gridCol w:w="109"/>
        <w:gridCol w:w="109"/>
        <w:gridCol w:w="109"/>
        <w:gridCol w:w="109"/>
        <w:gridCol w:w="211"/>
        <w:gridCol w:w="795"/>
        <w:gridCol w:w="109"/>
        <w:gridCol w:w="109"/>
        <w:gridCol w:w="109"/>
        <w:gridCol w:w="109"/>
        <w:gridCol w:w="211"/>
        <w:gridCol w:w="751"/>
        <w:gridCol w:w="109"/>
        <w:gridCol w:w="109"/>
        <w:gridCol w:w="109"/>
        <w:gridCol w:w="109"/>
        <w:gridCol w:w="261"/>
        <w:gridCol w:w="263"/>
        <w:gridCol w:w="586"/>
      </w:tblGrid>
      <w:tr>
        <w:trPr/>
        <w:tc>
          <w:tcPr>
            <w:tcW w:w="181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both"/>
        <w:rPr/>
      </w:pPr>
      <w:r>
        <w:rPr>
          <w:rFonts w:ascii="Arial;sans-serif" w:hAnsi="Arial;sans-serif"/>
          <w:b w:val="false"/>
          <w:i/>
          <w:color w:val="000000"/>
          <w:sz w:val="20"/>
        </w:rPr>
        <w:t xml:space="preserve">Operating activities. </w:t>
      </w:r>
      <w:r>
        <w:rPr>
          <w:rFonts w:ascii="Arial;sans-serif" w:hAnsi="Arial;sans-serif"/>
          <w:b w:val="false"/>
          <w:color w:val="000000"/>
          <w:sz w:val="20"/>
        </w:rPr>
        <w:t>Net cash used in or provided by operating activities represents our net income (loss) for the periods presented. Adjustments to net income (loss) for non-cash items include share-based compensation and accrued interest, depreciation, amortization and asset write-downs. Operating cash flows are also impacted by changes in working capital as a result of changes in inventories, collections from trade receivables and payments of accounts payables and by changes in other long term assets and liabilities.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operating activities decreased by $46.2 million from $51.6 million net cash used in operating activities for the six months ended June 30, 2025 to $5.4 million net cash used in operating activities for the six months ended June 30, 2026. This was primarily the result of a $24.3 million increase in share based compensation, a $20.3 million decrease in accounts receivable and prepaid expenses, and a $12.0 million increase in accounts payables and accrued expenses, offset by a $5.4 million decrease in other long-term liabilities.</w:t>
      </w:r>
    </w:p>
    <w:p>
      <w:pPr>
        <w:pStyle w:val="TextBody"/>
        <w:bidi w:val="0"/>
        <w:spacing w:lineRule="auto" w:line="288" w:before="240" w:after="283"/>
        <w:jc w:val="both"/>
        <w:rPr/>
      </w:pPr>
      <w:r>
        <w:rPr>
          <w:rFonts w:ascii="Arial;sans-serif" w:hAnsi="Arial;sans-serif"/>
          <w:b w:val="false"/>
          <w:i/>
          <w:color w:val="000000"/>
          <w:sz w:val="20"/>
        </w:rPr>
        <w:t xml:space="preserve">Investing activities. </w:t>
      </w:r>
      <w:r>
        <w:rPr>
          <w:rFonts w:ascii="Arial;sans-serif" w:hAnsi="Arial;sans-serif"/>
          <w:b w:val="false"/>
          <w:color w:val="000000"/>
          <w:sz w:val="20"/>
        </w:rPr>
        <w:t>Our investing activities consist primarily of investments in and redemptions of our short-term investments as well as investments in property and equipment.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investing activities was $1.4 million for the six months ended June 30, 2026, compared to $29.5 million net cash provided by investing activities for the six months ended June 30, 2025. The $1.4 million net cash provided by investing activities for the six months ended June 30, 2026 was primarily attributable to $13.4 million of net proceeds of short term investments offset by the purchase of $12.1 million of property and equipment. The $29.5 million net cash used in investing activities for the six months ended June 30, 2025 was primarily attributable to $45.6. million of net proceeds of short-term investments offset by the purchase of $16.1 million of property and equipment.</w:t>
      </w:r>
    </w:p>
    <w:p>
      <w:pPr>
        <w:pStyle w:val="TextBody"/>
        <w:bidi w:val="0"/>
        <w:spacing w:lineRule="auto" w:line="288" w:before="240" w:after="283"/>
        <w:jc w:val="both"/>
        <w:rPr/>
      </w:pPr>
      <w:r>
        <w:rPr>
          <w:rFonts w:ascii="Arial;sans-serif" w:hAnsi="Arial;sans-serif"/>
          <w:b w:val="false"/>
          <w:i/>
          <w:color w:val="000000"/>
          <w:sz w:val="20"/>
        </w:rPr>
        <w:t xml:space="preserve">Financing activities. </w:t>
      </w:r>
      <w:r>
        <w:rPr>
          <w:rFonts w:ascii="Arial;sans-serif" w:hAnsi="Arial;sans-serif"/>
          <w:b w:val="false"/>
          <w:color w:val="000000"/>
          <w:sz w:val="20"/>
        </w:rPr>
        <w:t xml:space="preserve">Net cash provided by financing activities was $4.4 million for the six months ended June 30, 2026, as compared to $7.6 million provided by financing activities for the six months ended June 30, 2025. The $4.4 million net cash provided by financing activities for the six months ended June 30, 2026 was primarily attributable to the proceeds from the issuance of shares and the exercise of options. The $7.6 million provided by financing activities for the six months ended June 30, 2026 was primarily attributable to the exercise of options under the Company's share option plan.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Senior Secured Term Loan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2024 Novocure Luxembourg S.a.r.l. ("Borrower"), our wholly-owned subsidiary, entered into a five-year senior secured credit facility of up to $400.0 million (the "Facility") with BPCR Limited Partnership and BioPharma Credit Investments V (Master) LP (collectively, the "Lenders"), BioPharma Credit PLC, as collateral agent for the Lenders, and the guarantors party to such agreement (the "Loan Agreement"). The Facility could be drawn in up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four drawings. The Loan Agreement provides for an initial term loan in the principal amount of $100.0 million (the "Tranche A Loan"), which was funded to the Borrower on May 1, 2024 (the "Tranche A Funding Date"). Under the Loan Agreement, the Borrower was required to draw $100.0 million on the Facility on or before September 30, 2025 (the "Tranche B Loan"). Not later than December 31, 2025, the Borrower had the option to give notice of its intent to draw an additional $100.0 million of the Facility (the "Tranche C Loan"). In addition, not later than March 31, 2026, the Borrower had the option to to draw an additional $100.0 million of the Facility (the "Tranche D Loan"). As of June 30, 2026, we have borrowed the Tranche A Loan and the Tranche B Loan in the aggregate principal amount of $200.0 million. We did not give notice of our intent to borrow the Tranche C Loan. As a result, we no longer have the ability to borrow the Tranche C or Tranche D Loans.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under the Loan Agreement are guaranteed by certain of our subsidiaries and secured by a first lien on the Borrower's and certain of our other subsidiaries’ assets. Outstanding term loans under the Loan Agreement will bear interest at an annual rate equal to 6.25% plus the three-months SOFR (subject to a 3.25% floor), payable quarterly in arrears and calculated on the basis of actual days elapsed in a 360-day year. The Borrower paid 2.5% of additional consideration on each principal draw, with payment for the Tranche A Loan and the Tranche B Loan paid on the Tranche A Funding Date. Principal under the Facility will be repaid in eight equal quarterly repayments commencing with the third quarter of 2027 and continuing each quarter thereafter, with the final payment of outstanding principal due on the fifth anniversary of the Tranche A Funding Date. Voluntary prepayment of all, but not less than all, of the term loans outstanding is permitted at any time, subject to make-whole and prepayment premiums as set forth in the Loan Agreement. Prepayment of all term loans outstanding, subject to make-whole and prepayment premiums, is due and payable upon a change-in-control as defined in the Loan Agreement. Make-whole and prepayment premiums are due and payable for the Tranche B Loans for any voluntary prepayment of the term loans outstanding, upon a change-in-control (as defined in the Loan Agreement), and upon any acceleration of the maturity date, in each case regardless of whether the Tranche B Loan is drawn.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Contractual Obligations and Commitments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information disclosed in our 2025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U.S. Securities and Exchange Commission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have been no material changes from the information disclosed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required by Rule 13a-15(b) under the Securities Exchange Act of 1934, as amended (the “Exchange Act”), our management, under the supervision and with the participation of our Chief Executive Officer and Chief Financial Officer, has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have concluded that, as of June 30, 2026, our disclosure controls and procedures were effective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involved in various legal proceedings, claims, investigations and litigation that arise in the ordinary course of our business. Litigation is inherently uncertain. Accordingly, we cannot predict with certainty the outcome of these matters. After considering a number of factors, including (but not limited to) the views of legal counsel, the nature of contingencies to which the Company is subject and prior experience, management believes that the ultimate disposition of these legal actions will not materially affect its consolidated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our risk factors disclosed in Part I, Item 1A “Risk Factors” in the 2025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Securities Trading Plans of Executive Officers and Directors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executive officers and directors to enter into trading plans designed to comply with Rule 10b5-1.</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three-month period ending June 30, 2026, neither we nor any of our executive officers or directors adopted or terminated any contract, instruction or written plan for the purchase or sale of our securities that are intended to satisfy the affirmative defense conditions of Rule 10b5–1(c) promulgated under the Securities Exchange Act of 1934, as amended or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1695"/>
        <w:gridCol w:w="1571"/>
        <w:gridCol w:w="1576"/>
        <w:gridCol w:w="109"/>
        <w:gridCol w:w="109"/>
        <w:gridCol w:w="109"/>
        <w:gridCol w:w="175"/>
        <w:gridCol w:w="175"/>
        <w:gridCol w:w="176"/>
        <w:gridCol w:w="120"/>
        <w:gridCol w:w="120"/>
        <w:gridCol w:w="120"/>
        <w:gridCol w:w="245"/>
        <w:gridCol w:w="245"/>
        <w:gridCol w:w="251"/>
        <w:gridCol w:w="120"/>
        <w:gridCol w:w="120"/>
        <w:gridCol w:w="120"/>
        <w:gridCol w:w="245"/>
        <w:gridCol w:w="245"/>
        <w:gridCol w:w="246"/>
        <w:gridCol w:w="109"/>
        <w:gridCol w:w="109"/>
        <w:gridCol w:w="109"/>
        <w:gridCol w:w="250"/>
        <w:gridCol w:w="250"/>
        <w:gridCol w:w="36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w:t>
              <w:br/>
              <w:t>Herewith</w:t>
            </w:r>
          </w:p>
        </w:tc>
      </w:tr>
      <w:tr>
        <w:trPr/>
        <w:tc>
          <w:tcPr>
            <w:tcW w:w="7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NovoCure Limited Amended and Restated 2024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5,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vcr-20260630xexx311.htm">
              <w:r>
                <w:rPr>
                  <w:rStyle w:val="InternetLink"/>
                  <w:rFonts w:ascii="Arial;sans-serif" w:hAnsi="Arial;sans-serif"/>
                  <w:b w:val="false"/>
                  <w:color w:val="0000FF"/>
                  <w:sz w:val="20"/>
                  <w:u w:val="single"/>
                </w:rPr>
                <w:t>Certification of Principal Executive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vcr-20260630xexx312.htm">
              <w:r>
                <w:rPr>
                  <w:rStyle w:val="InternetLink"/>
                  <w:rFonts w:ascii="Arial;sans-serif" w:hAnsi="Arial;sans-serif"/>
                  <w:b w:val="false"/>
                  <w:color w:val="0000FF"/>
                  <w:sz w:val="20"/>
                  <w:u w:val="single"/>
                </w:rPr>
                <w:t>Certification of Principal Financial Officer Required Under Rule 13a-14(a) and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vcr-20260630xexx321.htm">
              <w:r>
                <w:rPr>
                  <w:rStyle w:val="InternetLink"/>
                  <w:rFonts w:ascii="Arial;sans-serif" w:hAnsi="Arial;sans-serif"/>
                  <w:b w:val="false"/>
                  <w:color w:val="0000FF"/>
                  <w:sz w:val="20"/>
                  <w:u w:val="single"/>
                </w:rPr>
                <w:t>Certification of Principal Executive Officer Required Under Rule 13a-14(b) of the Securities Exchange Act of 1934, as amended, and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vcr-20260630xexx322.htm">
              <w:r>
                <w:rPr>
                  <w:rStyle w:val="InternetLink"/>
                  <w:rFonts w:ascii="Arial;sans-serif" w:hAnsi="Arial;sans-serif"/>
                  <w:b w:val="false"/>
                  <w:color w:val="0000FF"/>
                  <w:sz w:val="20"/>
                  <w:u w:val="single"/>
                </w:rPr>
                <w:t>Certification of Principal Financial Officer Required Under Rule 13a-14(b) of the Securities Exchange Act of 1934, as amended, and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Date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    Compensation plans and arrangements for executive officers and others.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    The certifications attached as Exhibits 32.1 and 32.2 that accompany this Quarterly Report on Form 10-Q are not deemed filed with the Securities and Exchange Commission and are not to be incorporated by reference into any filing of NovoCure Limited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9b69d26dda0a4d6282207cae41da4bbb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831"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1079"/>
        <w:gridCol w:w="1079"/>
        <w:gridCol w:w="1532"/>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NovoCure Limited</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Christoph Brackmann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Christoph Brackmann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and duly authorized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Frank Leonard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NovoCure Limited;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2412" w:type="dxa"/>
        <w:jc w:val="left"/>
        <w:tblInd w:w="0" w:type="dxa"/>
        <w:tblLayout w:type="fixed"/>
        <w:tblCellMar>
          <w:top w:w="28" w:type="dxa"/>
          <w:left w:w="28" w:type="dxa"/>
          <w:bottom w:w="28" w:type="dxa"/>
          <w:right w:w="28" w:type="dxa"/>
        </w:tblCellMar>
      </w:tblPr>
      <w:tblGrid>
        <w:gridCol w:w="738"/>
        <w:gridCol w:w="649"/>
        <w:gridCol w:w="65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Frank Leonard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 Leonard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76"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 Christoph Brackmann, certify that:</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NovoCure Limited;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4106" w:type="dxa"/>
        <w:jc w:val="left"/>
        <w:tblInd w:w="0" w:type="dxa"/>
        <w:tblLayout w:type="fixed"/>
        <w:tblCellMar>
          <w:top w:w="28" w:type="dxa"/>
          <w:left w:w="28" w:type="dxa"/>
          <w:bottom w:w="28" w:type="dxa"/>
          <w:right w:w="28" w:type="dxa"/>
        </w:tblCellMar>
      </w:tblPr>
      <w:tblGrid>
        <w:gridCol w:w="1351"/>
        <w:gridCol w:w="1189"/>
        <w:gridCol w:w="1194"/>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 Brackmann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 Brackmann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NovoCure Limited (the "Company") on Form 10-Q for the quarter ended June 30, 2026, as filed with the Securities and Exchange Commission on the date hereof (the "Report"), I, Frank Leonard, Chief Executive Officer (Principal Executive Officer) of the Company, certify, pursuant to 18 U.S.C. § 1350, as adopted pursuant to § 906 of the Sarbanes-Oxley Act of 2002, that:</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2817" w:type="dxa"/>
        <w:jc w:val="left"/>
        <w:tblInd w:w="0" w:type="dxa"/>
        <w:tblLayout w:type="fixed"/>
        <w:tblCellMar>
          <w:top w:w="28" w:type="dxa"/>
          <w:left w:w="28" w:type="dxa"/>
          <w:bottom w:w="28" w:type="dxa"/>
          <w:right w:w="28" w:type="dxa"/>
        </w:tblCellMar>
      </w:tblPr>
      <w:tblGrid>
        <w:gridCol w:w="885"/>
        <w:gridCol w:w="777"/>
        <w:gridCol w:w="783"/>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Frank Leonard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 Leonard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to which it relates, is not deemed filed with the Securities and Exchange Commission and is not to be incorporated by reference into any filing of NovoCure Limited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NovoCure Limited (the "Company") on Form 10-Q for the quarter ended June 30, 2026, as filed with the Securities and Exchange Commission on the date hereof (the "Report"), I, Christoph Brackmann, Chief Financial Officer (Principal Financial and Accounting Officer) of the Company, certify, pursuant to 18 U.S.C. § 1350, as adopted pursuant to § 906 of the Sarbanes-Oxley Act of 2002, that:</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76"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106" w:type="dxa"/>
        <w:jc w:val="left"/>
        <w:tblInd w:w="0" w:type="dxa"/>
        <w:tblLayout w:type="fixed"/>
        <w:tblCellMar>
          <w:top w:w="28" w:type="dxa"/>
          <w:left w:w="28" w:type="dxa"/>
          <w:bottom w:w="28" w:type="dxa"/>
          <w:right w:w="28" w:type="dxa"/>
        </w:tblCellMar>
      </w:tblPr>
      <w:tblGrid>
        <w:gridCol w:w="1353"/>
        <w:gridCol w:w="1186"/>
        <w:gridCol w:w="1195"/>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 Brackmann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 Brackmann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to which it relates, is not deemed filed with the Securities and Exchange Commission and is not to be incorporated by reference into any filing of NovoCure Limited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5113/000164511326000050/novocurelimitedamendedand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15639</Words>
  <Characters>86151</Characters>
  <CharactersWithSpaces>100449</CharactersWithSpaces>
  <Paragraphs>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