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93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4"/>
                </w:rPr>
                <w:t>Hung David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NovoCure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NVCR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NOVOCURE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1550 LIBERTY RIDGE DRIVE, SUITE 115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19087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11,610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are scheduled to vest 100% on the earlier of the following dates: (i) the first anniversary of the grant date or (ii) the day immediately preceding the Company's 2027 annual general meeting of shareholders.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to buy ordinary shares will fully vest and become exercisable on the earlier of the following dates: (i) the first anniversary of the grant date or (ii) the day immediately preceding the Company's 2027 annual general meeting of shareholders.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Steven Robbins, as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Hung, David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10880" TargetMode="External"/><Relationship Id="rId14" Type="http://schemas.openxmlformats.org/officeDocument/2006/relationships/hyperlink" Target="http://www.sec.gov/cgi-bin/browse-edgar?action=getcompany&amp;CIK=00016451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2026-06-05T15:27:40Z</dcterms:created>
  <dcterms:modified xsi:type="dcterms:W3CDTF">2026-06-05T15:27:40Z</dcterms:modified>
</cp:coreProperties>
</file>