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LEUNG GABRIEL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NOVOCURE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LIBERTY RIDGE DRIVE, SUITE 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NovoCure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NVCR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101,109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are scheduled to vest 100%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to buy ordinary shares will fully vest and become exercisable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Robbins, as attorney in fact for Leung, Gabriel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6183" TargetMode="External"/><Relationship Id="rId5" Type="http://schemas.openxmlformats.org/officeDocument/2006/relationships/hyperlink" Target="http://www.sec.gov/cgi-bin/browse-edgar?action=getcompany&amp;CIK=00016451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664</Words>
  <Characters>3595</Characters>
  <CharactersWithSpaces>4189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