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Scannell Timothy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NOVOCURE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LIBERTY RIDGE DRIVE, SUITE 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WAYNE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NovoCure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NVCR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937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25,898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16,999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16,999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are scheduled to vest 100% on the earlier of the following dates: (i) the first anniversary of the grant date or (ii) the day immediately preceding the Company's 2027 annual general meeting of shareholders.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Options to buy ordinary shares will fully vest and become exercisable on the earlier of the following dates: (i) the first anniversary of the grant date or (ii) the day immediately preceding the Company's 2027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Steven Robbins, as attorney in fact for Scannell, Timothy J.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1533" TargetMode="External"/><Relationship Id="rId5" Type="http://schemas.openxmlformats.org/officeDocument/2006/relationships/hyperlink" Target="http://www.sec.gov/cgi-bin/browse-edgar?action=getcompany&amp;CIK=00016451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3603</Characters>
  <CharactersWithSpaces>4199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